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
      </w:pPr>
      <w:r>
        <w:rPr>
          <w:rFonts w:ascii="Consolas" w:cs="Consolas" w:eastAsia="Consolas" w:hAnsi="Consolas"/>
          <w:b/>
          <w:bCs/>
          <w:color w:val="7A8698"/>
          <w:spacing w:val="32"/>
          <w:sz w:val="14"/>
          <w:szCs w:val="14"/>
        </w:rPr>
        <w:t xml:space="preserve">CORRECTIONS LIST · STORY RECRUITMENT</w:t>
      </w:r>
    </w:p>
    <w:p>
      <w:pPr>
        <w:spacing w:after="200"/>
      </w:pPr>
      <w:r>
        <w:rPr>
          <w:rFonts w:ascii="Cambria" w:cs="Cambria" w:eastAsia="Cambria" w:hAnsi="Cambria"/>
          <w:color w:val="141A24"/>
          <w:sz w:val="56"/>
          <w:szCs w:val="56"/>
        </w:rPr>
        <w:t xml:space="preserve">Changes to make to the CFO lists</w:t>
      </w:r>
    </w:p>
    <w:p>
      <w:pPr>
        <w:spacing w:after="220" w:line="300"/>
      </w:pPr>
      <w:r>
        <w:rPr>
          <w:rFonts w:ascii="Cambria" w:cs="Cambria" w:eastAsia="Cambria" w:hAnsi="Cambria"/>
          <w:color w:val="4E5A6B"/>
          <w:sz w:val="24"/>
          <w:szCs w:val="24"/>
        </w:rPr>
        <w:t xml:space="preserve">Eighteen edits across the three Top 10 CFOs articles, each with the line as it currently reads, the correction, and the source behind it. Everything verified as already correct has been left out.</w:t>
      </w:r>
    </w:p>
    <w:p>
      <w:pPr>
        <w:spacing w:after="100"/>
      </w:pPr>
      <w:r>
        <w:rPr>
          <w:rFonts w:ascii="Consolas" w:cs="Consolas" w:eastAsia="Consolas" w:hAnsi="Consolas"/>
          <w:color w:val="7A8698"/>
          <w:spacing w:val="20"/>
          <w:sz w:val="15"/>
          <w:szCs w:val="15"/>
        </w:rPr>
        <w:t xml:space="preserve">18 EDITS       3 ARTICLES       CHECKED 4 SEP 2026</w:t>
      </w:r>
    </w:p>
    <w:p>
      <w:pPr>
        <w:pBdr>
          <w:bottom w:val="single" w:color="141A24" w:sz="14"/>
        </w:pBdr>
        <w:spacing w:after="260" w:before="0"/>
      </w:pPr>
      <w:r>
        <w:t xml:space="preserve"/>
      </w:r>
    </w:p>
    <w:tbl>
      <w:tblPr>
        <w:tblW w:type="dxa" w:w="10080"/>
        <w:tblBorders>
          <w:top w:val="single" w:color="DCE2EA" w:sz="4"/>
          <w:left w:val="single" w:color="DCE2EA" w:sz="4"/>
          <w:bottom w:val="single" w:color="DCE2EA" w:sz="4"/>
          <w:right w:val="single" w:color="DCE2EA" w:sz="4"/>
          <w:insideH w:val="none" w:color="FFFFFF" w:sz="0"/>
          <w:insideV w:val="single" w:color="DCE2EA" w:sz="4"/>
        </w:tblBorders>
      </w:tblPr>
      <w:tblGrid>
        <w:gridCol w:w="2520"/>
        <w:gridCol w:w="2520"/>
        <w:gridCol w:w="2520"/>
        <w:gridCol w:w="2520"/>
      </w:tblGrid>
      <w:tr>
        <w:tc>
          <w:tcPr>
            <w:tcW w:type="dxa" w:w="2520"/>
            <w:tcBorders>
              <w:top w:val="none" w:color="FFFFFF" w:sz="0"/>
              <w:left w:val="none" w:color="FFFFFF" w:sz="0"/>
              <w:bottom w:val="none" w:color="FFFFFF" w:sz="0"/>
              <w:right w:val="none" w:color="FFFFFF" w:sz="0"/>
            </w:tcBorders>
            <w:shd w:fill="FFFFFF" w:color="auto" w:val="clear"/>
            <w:tcMar>
              <w:top w:type="dxa" w:w="160"/>
              <w:left w:type="dxa" w:w="160"/>
              <w:bottom w:type="dxa" w:w="160"/>
              <w:right w:type="dxa" w:w="120"/>
            </w:tcMar>
          </w:tcPr>
          <w:p>
            <w:pPr>
              <w:spacing w:after="40"/>
            </w:pPr>
            <w:r>
              <w:rPr>
                <w:rFonts w:ascii="Consolas" w:cs="Consolas" w:eastAsia="Consolas" w:hAnsi="Consolas"/>
                <w:b/>
                <w:bCs/>
                <w:color w:val="B32636"/>
                <w:sz w:val="40"/>
                <w:szCs w:val="40"/>
              </w:rPr>
              <w:t xml:space="preserve">6</w:t>
            </w:r>
          </w:p>
          <w:p>
            <w:pPr>
              <w:spacing w:after="0"/>
            </w:pPr>
            <w:r>
              <w:rPr>
                <w:rFonts w:ascii="Consolas" w:cs="Consolas" w:eastAsia="Consolas" w:hAnsi="Consolas"/>
                <w:b/>
                <w:bCs/>
                <w:color w:val="7A8698"/>
                <w:spacing w:val="24"/>
                <w:sz w:val="12"/>
                <w:szCs w:val="12"/>
              </w:rPr>
              <w:t xml:space="preserve">WRONG AS PUBLISHED</w:t>
            </w:r>
          </w:p>
        </w:tc>
        <w:tc>
          <w:tcPr>
            <w:tcW w:type="dxa" w:w="2520"/>
            <w:tcBorders>
              <w:top w:val="none" w:color="FFFFFF" w:sz="0"/>
              <w:left w:val="none" w:color="FFFFFF" w:sz="0"/>
              <w:bottom w:val="none" w:color="FFFFFF" w:sz="0"/>
              <w:right w:val="none" w:color="FFFFFF" w:sz="0"/>
            </w:tcBorders>
            <w:shd w:fill="FFFFFF" w:color="auto" w:val="clear"/>
            <w:tcMar>
              <w:top w:type="dxa" w:w="160"/>
              <w:left w:type="dxa" w:w="160"/>
              <w:bottom w:type="dxa" w:w="160"/>
              <w:right w:type="dxa" w:w="120"/>
            </w:tcMar>
          </w:tcPr>
          <w:p>
            <w:pPr>
              <w:spacing w:after="40"/>
            </w:pPr>
            <w:r>
              <w:rPr>
                <w:rFonts w:ascii="Consolas" w:cs="Consolas" w:eastAsia="Consolas" w:hAnsi="Consolas"/>
                <w:b/>
                <w:bCs/>
                <w:color w:val="8A5806"/>
                <w:sz w:val="40"/>
                <w:szCs w:val="40"/>
              </w:rPr>
              <w:t xml:space="preserve">5</w:t>
            </w:r>
          </w:p>
          <w:p>
            <w:pPr>
              <w:spacing w:after="0"/>
            </w:pPr>
            <w:r>
              <w:rPr>
                <w:rFonts w:ascii="Consolas" w:cs="Consolas" w:eastAsia="Consolas" w:hAnsi="Consolas"/>
                <w:b/>
                <w:bCs/>
                <w:color w:val="7A8698"/>
                <w:spacing w:val="24"/>
                <w:sz w:val="12"/>
                <w:szCs w:val="12"/>
              </w:rPr>
              <w:t xml:space="preserve">OUT OF DATE</w:t>
            </w:r>
          </w:p>
        </w:tc>
        <w:tc>
          <w:tcPr>
            <w:tcW w:type="dxa" w:w="2520"/>
            <w:tcBorders>
              <w:top w:val="none" w:color="FFFFFF" w:sz="0"/>
              <w:left w:val="none" w:color="FFFFFF" w:sz="0"/>
              <w:bottom w:val="none" w:color="FFFFFF" w:sz="0"/>
              <w:right w:val="none" w:color="FFFFFF" w:sz="0"/>
            </w:tcBorders>
            <w:shd w:fill="FFFFFF" w:color="auto" w:val="clear"/>
            <w:tcMar>
              <w:top w:type="dxa" w:w="160"/>
              <w:left w:type="dxa" w:w="160"/>
              <w:bottom w:type="dxa" w:w="160"/>
              <w:right w:type="dxa" w:w="120"/>
            </w:tcMar>
          </w:tcPr>
          <w:p>
            <w:pPr>
              <w:spacing w:after="40"/>
            </w:pPr>
            <w:r>
              <w:rPr>
                <w:rFonts w:ascii="Consolas" w:cs="Consolas" w:eastAsia="Consolas" w:hAnsi="Consolas"/>
                <w:b/>
                <w:bCs/>
                <w:color w:val="24558F"/>
                <w:sz w:val="40"/>
                <w:szCs w:val="40"/>
              </w:rPr>
              <w:t xml:space="preserve">7</w:t>
            </w:r>
          </w:p>
          <w:p>
            <w:pPr>
              <w:spacing w:after="0"/>
            </w:pPr>
            <w:r>
              <w:rPr>
                <w:rFonts w:ascii="Consolas" w:cs="Consolas" w:eastAsia="Consolas" w:hAnsi="Consolas"/>
                <w:b/>
                <w:bCs/>
                <w:color w:val="7A8698"/>
                <w:spacing w:val="24"/>
                <w:sz w:val="12"/>
                <w:szCs w:val="12"/>
              </w:rPr>
              <w:t xml:space="preserve">IMPRECISE</w:t>
            </w:r>
          </w:p>
        </w:tc>
        <w:tc>
          <w:tcPr>
            <w:tcW w:type="dxa" w:w="2520"/>
            <w:tcBorders>
              <w:top w:val="none" w:color="FFFFFF" w:sz="0"/>
              <w:left w:val="none" w:color="FFFFFF" w:sz="0"/>
              <w:bottom w:val="none" w:color="FFFFFF" w:sz="0"/>
              <w:right w:val="none" w:color="FFFFFF" w:sz="0"/>
            </w:tcBorders>
            <w:shd w:fill="FFFFFF" w:color="auto" w:val="clear"/>
            <w:tcMar>
              <w:top w:type="dxa" w:w="160"/>
              <w:left w:type="dxa" w:w="160"/>
              <w:bottom w:type="dxa" w:w="160"/>
              <w:right w:type="dxa" w:w="120"/>
            </w:tcMar>
          </w:tcPr>
          <w:p>
            <w:pPr>
              <w:spacing w:after="40"/>
            </w:pPr>
            <w:r>
              <w:rPr>
                <w:rFonts w:ascii="Consolas" w:cs="Consolas" w:eastAsia="Consolas" w:hAnsi="Consolas"/>
                <w:b/>
                <w:bCs/>
                <w:color w:val="141A24"/>
                <w:sz w:val="40"/>
                <w:szCs w:val="40"/>
              </w:rPr>
              <w:t xml:space="preserve">18</w:t>
            </w:r>
          </w:p>
          <w:p>
            <w:pPr>
              <w:spacing w:after="0"/>
            </w:pPr>
            <w:r>
              <w:rPr>
                <w:rFonts w:ascii="Consolas" w:cs="Consolas" w:eastAsia="Consolas" w:hAnsi="Consolas"/>
                <w:b/>
                <w:bCs/>
                <w:color w:val="7A8698"/>
                <w:spacing w:val="24"/>
                <w:sz w:val="12"/>
                <w:szCs w:val="12"/>
              </w:rPr>
              <w:t xml:space="preserve">TOTAL EDITS</w:t>
            </w:r>
          </w:p>
        </w:tc>
      </w:tr>
    </w:tbl>
    <w:p>
      <w:pPr>
        <w:spacing w:after="120"/>
      </w:pPr>
      <w:r>
        <w:t xml:space="preserve"/>
      </w:r>
    </w:p>
    <w:p>
      <w:pPr>
        <w:spacing w:after="60" w:before="420"/>
      </w:pPr>
      <w:r>
        <w:rPr>
          <w:rFonts w:ascii="Cambria" w:cs="Cambria" w:eastAsia="Cambria" w:hAnsi="Cambria"/>
          <w:b w:val="false"/>
          <w:bCs w:val="false"/>
          <w:color w:val="141A24"/>
          <w:sz w:val="32"/>
          <w:szCs w:val="32"/>
        </w:rPr>
        <w:t xml:space="preserve">Wrong as published</w:t>
      </w:r>
      <w:r>
        <w:rPr>
          <w:rFonts w:ascii="Consolas" w:cs="Consolas" w:eastAsia="Consolas" w:hAnsi="Consolas"/>
          <w:b/>
          <w:bCs/>
          <w:color w:val="B32636"/>
          <w:spacing w:val="20"/>
          <w:sz w:val="16"/>
          <w:szCs w:val="16"/>
        </w:rPr>
        <w:t xml:space="preserve">     6 · HIGHEST PRIORITY</w:t>
      </w:r>
    </w:p>
    <w:p>
      <w:pPr>
        <w:pBdr>
          <w:bottom w:val="single" w:color="C3CCD8" w:sz="8"/>
        </w:pBdr>
        <w:spacing w:after="200" w:before="0"/>
      </w:pPr>
      <w:r>
        <w:t xml:space="preserve"/>
      </w:r>
    </w:p>
    <w:p>
      <w:pPr>
        <w:spacing w:after="240" w:line="276"/>
      </w:pPr>
      <w:r>
        <w:rPr>
          <w:color w:val="4E5A6B"/>
          <w:sz w:val="20"/>
          <w:szCs w:val="20"/>
        </w:rPr>
        <w:t xml:space="preserve">Each is contradicted by a primary source. Four sit in the scale figures the rankings are scored on, so the scores may need revisiting alongside the copy.</w:t>
      </w:r>
    </w:p>
    <w:tbl>
      <w:tblPr>
        <w:tblW w:type="dxa" w:w="10020"/>
        <w:tblBorders>
          <w:top w:val="single" w:color="DCE2EA" w:sz="4"/>
          <w:left w:val="single" w:color="B32636" w:sz="24"/>
          <w:bottom w:val="single" w:color="DCE2EA" w:sz="4"/>
          <w:right w:val="single" w:color="DCE2EA" w:sz="4"/>
          <w:insideH w:val="single" w:color="DCE2EA" w:sz="4"/>
          <w:insideV w:val="none" w:color="FFFFFF" w:sz="0"/>
        </w:tblBorders>
      </w:tblPr>
      <w:tblGrid>
        <w:gridCol w:w="10020"/>
      </w:tblGrid>
      <w:tr>
        <w:tc>
          <w:tcPr>
            <w:tcW w:type="dxa" w:w="10020"/>
            <w:gridSpan w:val="1"/>
            <w:tcBorders>
              <w:top w:val="none" w:color="FFFFFF" w:sz="0"/>
              <w:left w:val="none" w:color="FFFFFF" w:sz="0"/>
              <w:bottom w:val="none" w:color="FFFFFF" w:sz="0"/>
              <w:right w:val="none" w:color="FFFFFF" w:sz="0"/>
            </w:tcBorders>
            <w:shd w:fill="FFFFFF" w:color="auto" w:val="clear"/>
            <w:tcMar>
              <w:top w:type="dxa" w:w="120"/>
              <w:left w:type="dxa" w:w="180"/>
              <w:bottom w:type="dxa" w:w="60"/>
              <w:right w:type="dxa" w:w="180"/>
            </w:tcMar>
          </w:tcPr>
          <w:p>
            <w:pPr>
              <w:spacing w:after="0"/>
            </w:pPr>
            <w:r>
              <w:rPr>
                <w:rFonts w:ascii="Consolas" w:cs="Consolas" w:eastAsia="Consolas" w:hAnsi="Consolas"/>
                <w:b/>
                <w:bCs/>
                <w:color w:val="B32636"/>
                <w:sz w:val="18"/>
                <w:szCs w:val="18"/>
              </w:rPr>
              <w:t xml:space="preserve">01  </w:t>
            </w:r>
            <w:r>
              <w:rPr>
                <w:b/>
                <w:bCs/>
                <w:color w:val="141A24"/>
                <w:sz w:val="21"/>
                <w:szCs w:val="21"/>
              </w:rPr>
              <w:t xml:space="preserve">Joe Bedewi — Morse Micro</w:t>
            </w:r>
            <w:r>
              <w:rPr>
                <w:rFonts w:ascii="Consolas" w:cs="Consolas" w:eastAsia="Consolas" w:hAnsi="Consolas"/>
                <w:color w:val="7A8698"/>
                <w:sz w:val="15"/>
                <w:szCs w:val="15"/>
              </w:rPr>
              <w:t xml:space="preserve">   DEEP TECH · #1</w:t>
            </w:r>
          </w:p>
        </w:tc>
      </w:tr>
      <w:tr>
        <w:tc>
          <w:tcPr>
            <w:tcW w:type="dxa" w:w="10020"/>
            <w:tcBorders>
              <w:top w:val="none" w:color="FFFFFF" w:sz="0"/>
              <w:left w:val="none" w:color="FFFFFF" w:sz="0"/>
              <w:bottom w:val="none" w:color="FFFFFF" w:sz="0"/>
              <w:right w:val="none" w:color="FFFFFF" w:sz="0"/>
            </w:tcBorders>
            <w:shd w:fill="F1F4F8" w:color="auto" w:val="clear"/>
            <w:tcMar>
              <w:top w:type="dxa" w:w="140"/>
              <w:left w:type="dxa" w:w="180"/>
              <w:bottom w:type="dxa" w:w="140"/>
              <w:right w:type="dxa" w:w="180"/>
            </w:tcMar>
          </w:tcPr>
          <w:p>
            <w:pPr>
              <w:spacing w:after="90" w:before="0"/>
            </w:pPr>
            <w:r>
              <w:rPr>
                <w:rFonts w:ascii="Consolas" w:cs="Consolas" w:eastAsia="Consolas" w:hAnsi="Consolas"/>
                <w:b/>
                <w:bCs/>
                <w:color w:val="7A8698"/>
                <w:spacing w:val="28"/>
                <w:sz w:val="14"/>
                <w:szCs w:val="14"/>
              </w:rPr>
              <w:t xml:space="preserve">CURRENTLY READS</w:t>
            </w:r>
          </w:p>
          <w:p>
            <w:pPr>
              <w:spacing w:after="200" w:line="276"/>
            </w:pPr>
            <w:r>
              <w:rPr>
                <w:i/>
                <w:iCs/>
                <w:color w:val="4E5A6B"/>
                <w:sz w:val="20"/>
                <w:szCs w:val="20"/>
              </w:rPr>
              <w:t xml:space="preserve">Scale: ~US$700M valuation</w:t>
            </w:r>
          </w:p>
          <w:p>
            <w:pPr>
              <w:spacing w:after="90" w:before="0"/>
            </w:pPr>
            <w:r>
              <w:rPr>
                <w:rFonts w:ascii="Consolas" w:cs="Consolas" w:eastAsia="Consolas" w:hAnsi="Consolas"/>
                <w:b/>
                <w:bCs/>
                <w:color w:val="24558F"/>
                <w:spacing w:val="28"/>
                <w:sz w:val="14"/>
                <w:szCs w:val="14"/>
              </w:rPr>
              <w:t xml:space="preserve">CHANGE TO</w:t>
            </w:r>
          </w:p>
          <w:p>
            <w:pPr>
              <w:spacing w:after="0" w:line="276"/>
            </w:pPr>
            <w:r>
              <w:rPr>
                <w:b/>
                <w:bCs/>
                <w:color w:val="141A24"/>
                <w:sz w:val="20"/>
                <w:szCs w:val="20"/>
              </w:rPr>
              <w:t xml:space="preserve">~A$500M valuation.</w:t>
            </w:r>
            <w:r>
              <w:rPr>
                <w:color w:val="141A24"/>
                <w:sz w:val="20"/>
                <w:szCs w:val="20"/>
              </w:rPr>
              <w:t xml:space="preserve"> The September 2025 Series C valued Morse Micro at about A$500 million (~US$330M); total funding to date is A$290M+. As published it overstates valuation by more than double and uses the wrong currency. </w:t>
            </w:r>
            <w:r>
              <w:rPr>
                <w:b/>
                <w:bCs/>
                <w:color w:val="141A24"/>
                <w:sz w:val="20"/>
                <w:szCs w:val="20"/>
              </w:rPr>
              <w:t xml:space="preserve">Scale score 9/10 may need review.</w:t>
            </w:r>
          </w:p>
        </w:tc>
      </w:tr>
      <w:tr>
        <w:tc>
          <w:tcPr>
            <w:tcW w:type="dxa" w:w="10020"/>
            <w:tcBorders>
              <w:top w:val="none" w:color="FFFFFF" w:sz="0"/>
              <w:left w:val="none" w:color="FFFFFF" w:sz="0"/>
              <w:bottom w:val="none" w:color="FFFFFF" w:sz="0"/>
              <w:right w:val="none" w:color="FFFFFF" w:sz="0"/>
            </w:tcBorders>
            <w:shd w:fill="FFFFFF" w:color="auto" w:val="clear"/>
            <w:tcMar>
              <w:top w:type="dxa" w:w="100"/>
              <w:left w:type="dxa" w:w="180"/>
              <w:bottom w:type="dxa" w:w="140"/>
              <w:right w:type="dxa" w:w="180"/>
            </w:tcMar>
          </w:tcPr>
          <w:p>
            <w:pPr>
              <w:spacing w:after="0" w:line="260"/>
            </w:pPr>
            <w:r>
              <w:rPr>
                <w:rFonts w:ascii="Consolas" w:cs="Consolas" w:eastAsia="Consolas" w:hAnsi="Consolas"/>
                <w:b/>
                <w:bCs/>
                <w:color w:val="7A8698"/>
                <w:spacing w:val="24"/>
                <w:sz w:val="14"/>
                <w:szCs w:val="14"/>
              </w:rPr>
              <w:t xml:space="preserve">Source   </w:t>
            </w:r>
            <w:r>
              <w:rPr>
                <w:rFonts w:ascii="Consolas" w:cs="Consolas" w:eastAsia="Consolas" w:hAnsi="Consolas"/>
                <w:color w:val="7A8698"/>
                <w:sz w:val="16"/>
                <w:szCs w:val="16"/>
              </w:rPr>
              <w:t xml:space="preserve">AFR, 19 Sep 2025 · Morse Micro Series C release · SmartCompany, 23 Sep 2025</w:t>
            </w:r>
          </w:p>
        </w:tc>
      </w:tr>
    </w:tbl>
    <w:p>
      <w:pPr>
        <w:spacing w:after="150"/>
      </w:pPr>
      <w:r>
        <w:t xml:space="preserve"/>
      </w:r>
    </w:p>
    <w:tbl>
      <w:tblPr>
        <w:tblW w:type="dxa" w:w="10020"/>
        <w:tblBorders>
          <w:top w:val="single" w:color="DCE2EA" w:sz="4"/>
          <w:left w:val="single" w:color="B32636" w:sz="24"/>
          <w:bottom w:val="single" w:color="DCE2EA" w:sz="4"/>
          <w:right w:val="single" w:color="DCE2EA" w:sz="4"/>
          <w:insideH w:val="single" w:color="DCE2EA" w:sz="4"/>
          <w:insideV w:val="none" w:color="FFFFFF" w:sz="0"/>
        </w:tblBorders>
      </w:tblPr>
      <w:tblGrid>
        <w:gridCol w:w="10020"/>
      </w:tblGrid>
      <w:tr>
        <w:tc>
          <w:tcPr>
            <w:tcW w:type="dxa" w:w="10020"/>
            <w:gridSpan w:val="1"/>
            <w:tcBorders>
              <w:top w:val="none" w:color="FFFFFF" w:sz="0"/>
              <w:left w:val="none" w:color="FFFFFF" w:sz="0"/>
              <w:bottom w:val="none" w:color="FFFFFF" w:sz="0"/>
              <w:right w:val="none" w:color="FFFFFF" w:sz="0"/>
            </w:tcBorders>
            <w:shd w:fill="FFFFFF" w:color="auto" w:val="clear"/>
            <w:tcMar>
              <w:top w:type="dxa" w:w="120"/>
              <w:left w:type="dxa" w:w="180"/>
              <w:bottom w:type="dxa" w:w="60"/>
              <w:right w:type="dxa" w:w="180"/>
            </w:tcMar>
          </w:tcPr>
          <w:p>
            <w:pPr>
              <w:spacing w:after="0"/>
            </w:pPr>
            <w:r>
              <w:rPr>
                <w:rFonts w:ascii="Consolas" w:cs="Consolas" w:eastAsia="Consolas" w:hAnsi="Consolas"/>
                <w:b/>
                <w:bCs/>
                <w:color w:val="B32636"/>
                <w:sz w:val="18"/>
                <w:szCs w:val="18"/>
              </w:rPr>
              <w:t xml:space="preserve">02  </w:t>
            </w:r>
            <w:r>
              <w:rPr>
                <w:b/>
                <w:bCs/>
                <w:color w:val="141A24"/>
                <w:sz w:val="21"/>
                <w:szCs w:val="21"/>
              </w:rPr>
              <w:t xml:space="preserve">Ashley Hasforth — Gilmour Space</w:t>
            </w:r>
            <w:r>
              <w:rPr>
                <w:rFonts w:ascii="Consolas" w:cs="Consolas" w:eastAsia="Consolas" w:hAnsi="Consolas"/>
                <w:color w:val="7A8698"/>
                <w:sz w:val="15"/>
                <w:szCs w:val="15"/>
              </w:rPr>
              <w:t xml:space="preserve">   DEEP TECH · #3</w:t>
            </w:r>
          </w:p>
        </w:tc>
      </w:tr>
      <w:tr>
        <w:tc>
          <w:tcPr>
            <w:tcW w:type="dxa" w:w="10020"/>
            <w:tcBorders>
              <w:top w:val="none" w:color="FFFFFF" w:sz="0"/>
              <w:left w:val="none" w:color="FFFFFF" w:sz="0"/>
              <w:bottom w:val="none" w:color="FFFFFF" w:sz="0"/>
              <w:right w:val="none" w:color="FFFFFF" w:sz="0"/>
            </w:tcBorders>
            <w:shd w:fill="F1F4F8" w:color="auto" w:val="clear"/>
            <w:tcMar>
              <w:top w:type="dxa" w:w="140"/>
              <w:left w:type="dxa" w:w="180"/>
              <w:bottom w:type="dxa" w:w="140"/>
              <w:right w:type="dxa" w:w="180"/>
            </w:tcMar>
          </w:tcPr>
          <w:p>
            <w:pPr>
              <w:spacing w:after="90" w:before="0"/>
            </w:pPr>
            <w:r>
              <w:rPr>
                <w:rFonts w:ascii="Consolas" w:cs="Consolas" w:eastAsia="Consolas" w:hAnsi="Consolas"/>
                <w:b/>
                <w:bCs/>
                <w:color w:val="7A8698"/>
                <w:spacing w:val="28"/>
                <w:sz w:val="14"/>
                <w:szCs w:val="14"/>
              </w:rPr>
              <w:t xml:space="preserve">CURRENTLY READS</w:t>
            </w:r>
          </w:p>
          <w:p>
            <w:pPr>
              <w:spacing w:after="200" w:line="276"/>
            </w:pPr>
            <w:r>
              <w:rPr>
                <w:i/>
                <w:iCs/>
                <w:color w:val="4E5A6B"/>
                <w:sz w:val="20"/>
                <w:szCs w:val="20"/>
              </w:rPr>
              <w:t xml:space="preserve">Series C US$61M plus A$52M federal grant</w:t>
            </w:r>
          </w:p>
          <w:p>
            <w:pPr>
              <w:spacing w:after="90" w:before="0"/>
            </w:pPr>
            <w:r>
              <w:rPr>
                <w:rFonts w:ascii="Consolas" w:cs="Consolas" w:eastAsia="Consolas" w:hAnsi="Consolas"/>
                <w:b/>
                <w:bCs/>
                <w:color w:val="24558F"/>
                <w:spacing w:val="28"/>
                <w:sz w:val="14"/>
                <w:szCs w:val="14"/>
              </w:rPr>
              <w:t xml:space="preserve">CHANGE TO</w:t>
            </w:r>
          </w:p>
          <w:p>
            <w:pPr>
              <w:spacing w:after="0" w:line="276"/>
            </w:pPr>
            <w:r>
              <w:rPr>
                <w:b/>
                <w:bCs/>
                <w:color w:val="141A24"/>
                <w:sz w:val="20"/>
                <w:szCs w:val="20"/>
              </w:rPr>
              <w:t xml:space="preserve">Series C A$61M</w:t>
            </w:r>
            <w:r>
              <w:rPr>
                <w:color w:val="141A24"/>
                <w:sz w:val="20"/>
                <w:szCs w:val="20"/>
              </w:rPr>
              <w:t xml:space="preserve"> (~US$47M). Currency is inverted. The A$52M federal grant is correct and needs no change.</w:t>
            </w:r>
          </w:p>
        </w:tc>
      </w:tr>
      <w:tr>
        <w:tc>
          <w:tcPr>
            <w:tcW w:type="dxa" w:w="10020"/>
            <w:tcBorders>
              <w:top w:val="none" w:color="FFFFFF" w:sz="0"/>
              <w:left w:val="none" w:color="FFFFFF" w:sz="0"/>
              <w:bottom w:val="none" w:color="FFFFFF" w:sz="0"/>
              <w:right w:val="none" w:color="FFFFFF" w:sz="0"/>
            </w:tcBorders>
            <w:shd w:fill="FFFFFF" w:color="auto" w:val="clear"/>
            <w:tcMar>
              <w:top w:type="dxa" w:w="100"/>
              <w:left w:type="dxa" w:w="180"/>
              <w:bottom w:type="dxa" w:w="140"/>
              <w:right w:type="dxa" w:w="180"/>
            </w:tcMar>
          </w:tcPr>
          <w:p>
            <w:pPr>
              <w:spacing w:after="0" w:line="260"/>
            </w:pPr>
            <w:r>
              <w:rPr>
                <w:rFonts w:ascii="Consolas" w:cs="Consolas" w:eastAsia="Consolas" w:hAnsi="Consolas"/>
                <w:b/>
                <w:bCs/>
                <w:color w:val="7A8698"/>
                <w:spacing w:val="24"/>
                <w:sz w:val="14"/>
                <w:szCs w:val="14"/>
              </w:rPr>
              <w:t xml:space="preserve">Source   </w:t>
            </w:r>
            <w:r>
              <w:rPr>
                <w:rFonts w:ascii="Consolas" w:cs="Consolas" w:eastAsia="Consolas" w:hAnsi="Consolas"/>
                <w:color w:val="7A8698"/>
                <w:sz w:val="16"/>
                <w:szCs w:val="16"/>
              </w:rPr>
              <w:t xml:space="preserve">SpaceNews, 30 Jun 2021: "$61 million AUD (approximately $47 million USD)" · InnovationAus, 24 Jun 2021</w:t>
            </w:r>
          </w:p>
        </w:tc>
      </w:tr>
    </w:tbl>
    <w:p>
      <w:pPr>
        <w:spacing w:after="150"/>
      </w:pPr>
      <w:r>
        <w:t xml:space="preserve"/>
      </w:r>
    </w:p>
    <w:tbl>
      <w:tblPr>
        <w:tblW w:type="dxa" w:w="10020"/>
        <w:tblBorders>
          <w:top w:val="single" w:color="DCE2EA" w:sz="4"/>
          <w:left w:val="single" w:color="B32636" w:sz="24"/>
          <w:bottom w:val="single" w:color="DCE2EA" w:sz="4"/>
          <w:right w:val="single" w:color="DCE2EA" w:sz="4"/>
          <w:insideH w:val="single" w:color="DCE2EA" w:sz="4"/>
          <w:insideV w:val="none" w:color="FFFFFF" w:sz="0"/>
        </w:tblBorders>
      </w:tblPr>
      <w:tblGrid>
        <w:gridCol w:w="10020"/>
      </w:tblGrid>
      <w:tr>
        <w:tc>
          <w:tcPr>
            <w:tcW w:type="dxa" w:w="10020"/>
            <w:gridSpan w:val="1"/>
            <w:tcBorders>
              <w:top w:val="none" w:color="FFFFFF" w:sz="0"/>
              <w:left w:val="none" w:color="FFFFFF" w:sz="0"/>
              <w:bottom w:val="none" w:color="FFFFFF" w:sz="0"/>
              <w:right w:val="none" w:color="FFFFFF" w:sz="0"/>
            </w:tcBorders>
            <w:shd w:fill="FFFFFF" w:color="auto" w:val="clear"/>
            <w:tcMar>
              <w:top w:type="dxa" w:w="120"/>
              <w:left w:type="dxa" w:w="180"/>
              <w:bottom w:type="dxa" w:w="60"/>
              <w:right w:type="dxa" w:w="180"/>
            </w:tcMar>
          </w:tcPr>
          <w:p>
            <w:pPr>
              <w:spacing w:after="0"/>
            </w:pPr>
            <w:r>
              <w:rPr>
                <w:rFonts w:ascii="Consolas" w:cs="Consolas" w:eastAsia="Consolas" w:hAnsi="Consolas"/>
                <w:b/>
                <w:bCs/>
                <w:color w:val="B32636"/>
                <w:sz w:val="18"/>
                <w:szCs w:val="18"/>
              </w:rPr>
              <w:t xml:space="preserve">03  </w:t>
            </w:r>
            <w:r>
              <w:rPr>
                <w:b/>
                <w:bCs/>
                <w:color w:val="141A24"/>
                <w:sz w:val="21"/>
                <w:szCs w:val="21"/>
              </w:rPr>
              <w:t xml:space="preserve">Therese McGrath — Pepper Money</w:t>
            </w:r>
            <w:r>
              <w:rPr>
                <w:rFonts w:ascii="Consolas" w:cs="Consolas" w:eastAsia="Consolas" w:hAnsi="Consolas"/>
                <w:color w:val="7A8698"/>
                <w:sz w:val="15"/>
                <w:szCs w:val="15"/>
              </w:rPr>
              <w:t xml:space="preserve">   FINTECH · #3</w:t>
            </w:r>
          </w:p>
        </w:tc>
      </w:tr>
      <w:tr>
        <w:tc>
          <w:tcPr>
            <w:tcW w:type="dxa" w:w="10020"/>
            <w:tcBorders>
              <w:top w:val="none" w:color="FFFFFF" w:sz="0"/>
              <w:left w:val="none" w:color="FFFFFF" w:sz="0"/>
              <w:bottom w:val="none" w:color="FFFFFF" w:sz="0"/>
              <w:right w:val="none" w:color="FFFFFF" w:sz="0"/>
            </w:tcBorders>
            <w:shd w:fill="F1F4F8" w:color="auto" w:val="clear"/>
            <w:tcMar>
              <w:top w:type="dxa" w:w="140"/>
              <w:left w:type="dxa" w:w="180"/>
              <w:bottom w:type="dxa" w:w="140"/>
              <w:right w:type="dxa" w:w="180"/>
            </w:tcMar>
          </w:tcPr>
          <w:p>
            <w:pPr>
              <w:spacing w:after="90" w:before="0"/>
            </w:pPr>
            <w:r>
              <w:rPr>
                <w:rFonts w:ascii="Consolas" w:cs="Consolas" w:eastAsia="Consolas" w:hAnsi="Consolas"/>
                <w:b/>
                <w:bCs/>
                <w:color w:val="7A8698"/>
                <w:spacing w:val="28"/>
                <w:sz w:val="14"/>
                <w:szCs w:val="14"/>
              </w:rPr>
              <w:t xml:space="preserve">CURRENTLY READS</w:t>
            </w:r>
          </w:p>
          <w:p>
            <w:pPr>
              <w:spacing w:after="200" w:line="276"/>
            </w:pPr>
            <w:r>
              <w:rPr>
                <w:i/>
                <w:iCs/>
                <w:color w:val="4E5A6B"/>
                <w:sz w:val="20"/>
                <w:szCs w:val="20"/>
              </w:rPr>
              <w:t xml:space="preserve">"Eight and a half years in the seat, the longest tenure on this list"</w:t>
            </w:r>
          </w:p>
          <w:p>
            <w:pPr>
              <w:spacing w:after="90" w:before="0"/>
            </w:pPr>
            <w:r>
              <w:rPr>
                <w:rFonts w:ascii="Consolas" w:cs="Consolas" w:eastAsia="Consolas" w:hAnsi="Consolas"/>
                <w:b/>
                <w:bCs/>
                <w:color w:val="24558F"/>
                <w:spacing w:val="28"/>
                <w:sz w:val="14"/>
                <w:szCs w:val="14"/>
              </w:rPr>
              <w:t xml:space="preserve">CHANGE TO</w:t>
            </w:r>
          </w:p>
          <w:p>
            <w:pPr>
              <w:spacing w:after="0" w:line="276"/>
            </w:pPr>
            <w:r>
              <w:rPr>
                <w:b/>
                <w:bCs/>
                <w:color w:val="141A24"/>
                <w:sz w:val="20"/>
                <w:szCs w:val="20"/>
              </w:rPr>
              <w:t xml:space="preserve">Remove "the longest tenure on this list"</w:t>
            </w:r>
            <w:r>
              <w:rPr>
                <w:color w:val="141A24"/>
                <w:sz w:val="20"/>
                <w:szCs w:val="20"/>
              </w:rPr>
              <w:t xml:space="preserve"> — and the "Longest tenure on the list" line in her card header. Anna Harper at #5 carries the same claim and started a month earlier (Dec 2017 vs Jan 2018). The scoring already concedes it: Harper 10/10 on tenure, McGrath 9/10.</w:t>
            </w:r>
          </w:p>
        </w:tc>
      </w:tr>
      <w:tr>
        <w:tc>
          <w:tcPr>
            <w:tcW w:type="dxa" w:w="10020"/>
            <w:tcBorders>
              <w:top w:val="none" w:color="FFFFFF" w:sz="0"/>
              <w:left w:val="none" w:color="FFFFFF" w:sz="0"/>
              <w:bottom w:val="none" w:color="FFFFFF" w:sz="0"/>
              <w:right w:val="none" w:color="FFFFFF" w:sz="0"/>
            </w:tcBorders>
            <w:shd w:fill="FFFFFF" w:color="auto" w:val="clear"/>
            <w:tcMar>
              <w:top w:type="dxa" w:w="100"/>
              <w:left w:type="dxa" w:w="180"/>
              <w:bottom w:type="dxa" w:w="140"/>
              <w:right w:type="dxa" w:w="180"/>
            </w:tcMar>
          </w:tcPr>
          <w:p>
            <w:pPr>
              <w:spacing w:after="0" w:line="260"/>
            </w:pPr>
            <w:r>
              <w:rPr>
                <w:rFonts w:ascii="Consolas" w:cs="Consolas" w:eastAsia="Consolas" w:hAnsi="Consolas"/>
                <w:b/>
                <w:bCs/>
                <w:color w:val="7A8698"/>
                <w:spacing w:val="24"/>
                <w:sz w:val="14"/>
                <w:szCs w:val="14"/>
              </w:rPr>
              <w:t xml:space="preserve">Source   </w:t>
            </w:r>
            <w:r>
              <w:rPr>
                <w:rFonts w:ascii="Consolas" w:cs="Consolas" w:eastAsia="Consolas" w:hAnsi="Consolas"/>
                <w:color w:val="7A8698"/>
                <w:sz w:val="16"/>
                <w:szCs w:val="16"/>
              </w:rPr>
              <w:t xml:space="preserve">Internal contradiction between cards #3 and #5. Harper: SocietyOne CFO to Dec 2017, Clearmatch from Dec 2017</w:t>
            </w:r>
          </w:p>
        </w:tc>
      </w:tr>
    </w:tbl>
    <w:p>
      <w:pPr>
        <w:spacing w:after="150"/>
      </w:pPr>
      <w:r>
        <w:t xml:space="preserve"/>
      </w:r>
    </w:p>
    <w:tbl>
      <w:tblPr>
        <w:tblW w:type="dxa" w:w="10020"/>
        <w:tblBorders>
          <w:top w:val="single" w:color="DCE2EA" w:sz="4"/>
          <w:left w:val="single" w:color="B32636" w:sz="24"/>
          <w:bottom w:val="single" w:color="DCE2EA" w:sz="4"/>
          <w:right w:val="single" w:color="DCE2EA" w:sz="4"/>
          <w:insideH w:val="single" w:color="DCE2EA" w:sz="4"/>
          <w:insideV w:val="none" w:color="FFFFFF" w:sz="0"/>
        </w:tblBorders>
      </w:tblPr>
      <w:tblGrid>
        <w:gridCol w:w="10020"/>
      </w:tblGrid>
      <w:tr>
        <w:tc>
          <w:tcPr>
            <w:tcW w:type="dxa" w:w="10020"/>
            <w:gridSpan w:val="1"/>
            <w:tcBorders>
              <w:top w:val="none" w:color="FFFFFF" w:sz="0"/>
              <w:left w:val="none" w:color="FFFFFF" w:sz="0"/>
              <w:bottom w:val="none" w:color="FFFFFF" w:sz="0"/>
              <w:right w:val="none" w:color="FFFFFF" w:sz="0"/>
            </w:tcBorders>
            <w:shd w:fill="FFFFFF" w:color="auto" w:val="clear"/>
            <w:tcMar>
              <w:top w:type="dxa" w:w="120"/>
              <w:left w:type="dxa" w:w="180"/>
              <w:bottom w:type="dxa" w:w="60"/>
              <w:right w:type="dxa" w:w="180"/>
            </w:tcMar>
          </w:tcPr>
          <w:p>
            <w:pPr>
              <w:spacing w:after="0"/>
            </w:pPr>
            <w:r>
              <w:rPr>
                <w:rFonts w:ascii="Consolas" w:cs="Consolas" w:eastAsia="Consolas" w:hAnsi="Consolas"/>
                <w:b/>
                <w:bCs/>
                <w:color w:val="B32636"/>
                <w:sz w:val="18"/>
                <w:szCs w:val="18"/>
              </w:rPr>
              <w:t xml:space="preserve">04  </w:t>
            </w:r>
            <w:r>
              <w:rPr>
                <w:b/>
                <w:bCs/>
                <w:color w:val="141A24"/>
                <w:sz w:val="21"/>
                <w:szCs w:val="21"/>
              </w:rPr>
              <w:t xml:space="preserve">Gordon Bell — Zip Co</w:t>
            </w:r>
            <w:r>
              <w:rPr>
                <w:rFonts w:ascii="Consolas" w:cs="Consolas" w:eastAsia="Consolas" w:hAnsi="Consolas"/>
                <w:color w:val="7A8698"/>
                <w:sz w:val="15"/>
                <w:szCs w:val="15"/>
              </w:rPr>
              <w:t xml:space="preserve">   FINTECH · #1</w:t>
            </w:r>
          </w:p>
        </w:tc>
      </w:tr>
      <w:tr>
        <w:tc>
          <w:tcPr>
            <w:tcW w:type="dxa" w:w="10020"/>
            <w:tcBorders>
              <w:top w:val="none" w:color="FFFFFF" w:sz="0"/>
              <w:left w:val="none" w:color="FFFFFF" w:sz="0"/>
              <w:bottom w:val="none" w:color="FFFFFF" w:sz="0"/>
              <w:right w:val="none" w:color="FFFFFF" w:sz="0"/>
            </w:tcBorders>
            <w:shd w:fill="F1F4F8" w:color="auto" w:val="clear"/>
            <w:tcMar>
              <w:top w:type="dxa" w:w="140"/>
              <w:left w:type="dxa" w:w="180"/>
              <w:bottom w:type="dxa" w:w="140"/>
              <w:right w:type="dxa" w:w="180"/>
            </w:tcMar>
          </w:tcPr>
          <w:p>
            <w:pPr>
              <w:spacing w:after="90" w:before="0"/>
            </w:pPr>
            <w:r>
              <w:rPr>
                <w:rFonts w:ascii="Consolas" w:cs="Consolas" w:eastAsia="Consolas" w:hAnsi="Consolas"/>
                <w:b/>
                <w:bCs/>
                <w:color w:val="7A8698"/>
                <w:spacing w:val="28"/>
                <w:sz w:val="14"/>
                <w:szCs w:val="14"/>
              </w:rPr>
              <w:t xml:space="preserve">CURRENTLY READS</w:t>
            </w:r>
          </w:p>
          <w:p>
            <w:pPr>
              <w:spacing w:after="200" w:line="276"/>
            </w:pPr>
            <w:r>
              <w:rPr>
                <w:i/>
                <w:iCs/>
                <w:color w:val="4E5A6B"/>
                <w:sz w:val="20"/>
                <w:szCs w:val="20"/>
              </w:rPr>
              <w:t xml:space="preserve">"…total income of $1.35 billion and cash net profit up 45.7 per cent"</w:t>
            </w:r>
          </w:p>
          <w:p>
            <w:pPr>
              <w:spacing w:after="90" w:before="0"/>
            </w:pPr>
            <w:r>
              <w:rPr>
                <w:rFonts w:ascii="Consolas" w:cs="Consolas" w:eastAsia="Consolas" w:hAnsi="Consolas"/>
                <w:b/>
                <w:bCs/>
                <w:color w:val="24558F"/>
                <w:spacing w:val="28"/>
                <w:sz w:val="14"/>
                <w:szCs w:val="14"/>
              </w:rPr>
              <w:t xml:space="preserve">CHANGE TO</w:t>
            </w:r>
          </w:p>
          <w:p>
            <w:pPr>
              <w:spacing w:after="0" w:line="276"/>
            </w:pPr>
            <w:r>
              <w:rPr>
                <w:b/>
                <w:bCs/>
                <w:color w:val="141A24"/>
                <w:sz w:val="20"/>
                <w:szCs w:val="20"/>
              </w:rPr>
              <w:t xml:space="preserve">"statutory net profit up 45.7 per cent"</w:t>
            </w:r>
            <w:r>
              <w:rPr>
                <w:color w:val="141A24"/>
                <w:sz w:val="20"/>
                <w:szCs w:val="20"/>
              </w:rPr>
              <w:t xml:space="preserve"> — or use the cash figure, which is stronger: </w:t>
            </w:r>
            <w:r>
              <w:rPr>
                <w:b/>
                <w:bCs/>
                <w:color w:val="141A24"/>
                <w:sz w:val="20"/>
                <w:szCs w:val="20"/>
              </w:rPr>
              <w:t xml:space="preserve">cash EBTDA up 57.9% to $268.9m</w:t>
            </w:r>
            <w:r>
              <w:rPr>
                <w:color w:val="141A24"/>
                <w:sz w:val="20"/>
                <w:szCs w:val="20"/>
              </w:rPr>
              <w:t xml:space="preserve">. 45.7% is statutory NPAT ($116.4m), not a cash measure. TTV and total income are correct.</w:t>
            </w:r>
          </w:p>
        </w:tc>
      </w:tr>
      <w:tr>
        <w:tc>
          <w:tcPr>
            <w:tcW w:type="dxa" w:w="10020"/>
            <w:tcBorders>
              <w:top w:val="none" w:color="FFFFFF" w:sz="0"/>
              <w:left w:val="none" w:color="FFFFFF" w:sz="0"/>
              <w:bottom w:val="none" w:color="FFFFFF" w:sz="0"/>
              <w:right w:val="none" w:color="FFFFFF" w:sz="0"/>
            </w:tcBorders>
            <w:shd w:fill="FFFFFF" w:color="auto" w:val="clear"/>
            <w:tcMar>
              <w:top w:type="dxa" w:w="100"/>
              <w:left w:type="dxa" w:w="180"/>
              <w:bottom w:type="dxa" w:w="140"/>
              <w:right w:type="dxa" w:w="180"/>
            </w:tcMar>
          </w:tcPr>
          <w:p>
            <w:pPr>
              <w:spacing w:after="0" w:line="260"/>
            </w:pPr>
            <w:r>
              <w:rPr>
                <w:rFonts w:ascii="Consolas" w:cs="Consolas" w:eastAsia="Consolas" w:hAnsi="Consolas"/>
                <w:b/>
                <w:bCs/>
                <w:color w:val="7A8698"/>
                <w:spacing w:val="24"/>
                <w:sz w:val="14"/>
                <w:szCs w:val="14"/>
              </w:rPr>
              <w:t xml:space="preserve">Source   </w:t>
            </w:r>
            <w:r>
              <w:rPr>
                <w:rFonts w:ascii="Consolas" w:cs="Consolas" w:eastAsia="Consolas" w:hAnsi="Consolas"/>
                <w:color w:val="7A8698"/>
                <w:sz w:val="16"/>
                <w:szCs w:val="16"/>
              </w:rPr>
              <w:t xml:space="preserve">Zip FY26 results release, 20 Aug 2026: "Statutory net profit after tax (NPAT) grew 45.7%" / "Cash EBTDA up 57.9%"</w:t>
            </w:r>
          </w:p>
        </w:tc>
      </w:tr>
    </w:tbl>
    <w:p>
      <w:pPr>
        <w:spacing w:after="150"/>
      </w:pPr>
      <w:r>
        <w:t xml:space="preserve"/>
      </w:r>
    </w:p>
    <w:tbl>
      <w:tblPr>
        <w:tblW w:type="dxa" w:w="10020"/>
        <w:tblBorders>
          <w:top w:val="single" w:color="DCE2EA" w:sz="4"/>
          <w:left w:val="single" w:color="B32636" w:sz="24"/>
          <w:bottom w:val="single" w:color="DCE2EA" w:sz="4"/>
          <w:right w:val="single" w:color="DCE2EA" w:sz="4"/>
          <w:insideH w:val="single" w:color="DCE2EA" w:sz="4"/>
          <w:insideV w:val="none" w:color="FFFFFF" w:sz="0"/>
        </w:tblBorders>
      </w:tblPr>
      <w:tblGrid>
        <w:gridCol w:w="10020"/>
      </w:tblGrid>
      <w:tr>
        <w:tc>
          <w:tcPr>
            <w:tcW w:type="dxa" w:w="10020"/>
            <w:gridSpan w:val="1"/>
            <w:tcBorders>
              <w:top w:val="none" w:color="FFFFFF" w:sz="0"/>
              <w:left w:val="none" w:color="FFFFFF" w:sz="0"/>
              <w:bottom w:val="none" w:color="FFFFFF" w:sz="0"/>
              <w:right w:val="none" w:color="FFFFFF" w:sz="0"/>
            </w:tcBorders>
            <w:shd w:fill="FFFFFF" w:color="auto" w:val="clear"/>
            <w:tcMar>
              <w:top w:type="dxa" w:w="120"/>
              <w:left w:type="dxa" w:w="180"/>
              <w:bottom w:type="dxa" w:w="60"/>
              <w:right w:type="dxa" w:w="180"/>
            </w:tcMar>
          </w:tcPr>
          <w:p>
            <w:pPr>
              <w:spacing w:after="0"/>
            </w:pPr>
            <w:r>
              <w:rPr>
                <w:rFonts w:ascii="Consolas" w:cs="Consolas" w:eastAsia="Consolas" w:hAnsi="Consolas"/>
                <w:b/>
                <w:bCs/>
                <w:color w:val="B32636"/>
                <w:sz w:val="18"/>
                <w:szCs w:val="18"/>
              </w:rPr>
              <w:t xml:space="preserve">05  </w:t>
            </w:r>
            <w:r>
              <w:rPr>
                <w:b/>
                <w:bCs/>
                <w:color w:val="141A24"/>
                <w:sz w:val="21"/>
                <w:szCs w:val="21"/>
              </w:rPr>
              <w:t xml:space="preserve">Lasantha Thennakoon — Diraq</w:t>
            </w:r>
            <w:r>
              <w:rPr>
                <w:rFonts w:ascii="Consolas" w:cs="Consolas" w:eastAsia="Consolas" w:hAnsi="Consolas"/>
                <w:color w:val="7A8698"/>
                <w:sz w:val="15"/>
                <w:szCs w:val="15"/>
              </w:rPr>
              <w:t xml:space="preserve">   DEEP TECH · #6</w:t>
            </w:r>
          </w:p>
        </w:tc>
      </w:tr>
      <w:tr>
        <w:tc>
          <w:tcPr>
            <w:tcW w:type="dxa" w:w="10020"/>
            <w:tcBorders>
              <w:top w:val="none" w:color="FFFFFF" w:sz="0"/>
              <w:left w:val="none" w:color="FFFFFF" w:sz="0"/>
              <w:bottom w:val="none" w:color="FFFFFF" w:sz="0"/>
              <w:right w:val="none" w:color="FFFFFF" w:sz="0"/>
            </w:tcBorders>
            <w:shd w:fill="F1F4F8" w:color="auto" w:val="clear"/>
            <w:tcMar>
              <w:top w:type="dxa" w:w="140"/>
              <w:left w:type="dxa" w:w="180"/>
              <w:bottom w:type="dxa" w:w="140"/>
              <w:right w:type="dxa" w:w="180"/>
            </w:tcMar>
          </w:tcPr>
          <w:p>
            <w:pPr>
              <w:spacing w:after="90" w:before="0"/>
            </w:pPr>
            <w:r>
              <w:rPr>
                <w:rFonts w:ascii="Consolas" w:cs="Consolas" w:eastAsia="Consolas" w:hAnsi="Consolas"/>
                <w:b/>
                <w:bCs/>
                <w:color w:val="7A8698"/>
                <w:spacing w:val="28"/>
                <w:sz w:val="14"/>
                <w:szCs w:val="14"/>
              </w:rPr>
              <w:t xml:space="preserve">CURRENTLY READS</w:t>
            </w:r>
          </w:p>
          <w:p>
            <w:pPr>
              <w:spacing w:after="200" w:line="276"/>
            </w:pPr>
            <w:r>
              <w:rPr>
                <w:i/>
                <w:iCs/>
                <w:color w:val="4E5A6B"/>
                <w:sz w:val="20"/>
                <w:szCs w:val="20"/>
              </w:rPr>
              <w:t xml:space="preserve">"five offices, 130-plus staff"</w:t>
            </w:r>
          </w:p>
          <w:p>
            <w:pPr>
              <w:spacing w:after="90" w:before="0"/>
            </w:pPr>
            <w:r>
              <w:rPr>
                <w:rFonts w:ascii="Consolas" w:cs="Consolas" w:eastAsia="Consolas" w:hAnsi="Consolas"/>
                <w:b/>
                <w:bCs/>
                <w:color w:val="24558F"/>
                <w:spacing w:val="28"/>
                <w:sz w:val="14"/>
                <w:szCs w:val="14"/>
              </w:rPr>
              <w:t xml:space="preserve">CHANGE TO</w:t>
            </w:r>
          </w:p>
          <w:p>
            <w:pPr>
              <w:spacing w:after="0" w:line="276"/>
            </w:pPr>
            <w:r>
              <w:rPr>
                <w:b/>
                <w:bCs/>
                <w:color w:val="141A24"/>
                <w:sz w:val="20"/>
                <w:szCs w:val="20"/>
              </w:rPr>
              <w:t xml:space="preserve">"four offices, 70-plus staff".</w:t>
            </w:r>
            <w:r>
              <w:rPr>
                <w:color w:val="141A24"/>
                <w:sz w:val="20"/>
                <w:szCs w:val="20"/>
              </w:rPr>
              <w:t xml:space="preserve"> The NRFC puts Diraq at over 70 staff and PhD students; its listed operations are Sydney, Palo Alto, Boston and Chicago. 130+ appears to have come across from Morse Micro’s headcount, quoted in near-identical NRFC language.</w:t>
            </w:r>
          </w:p>
        </w:tc>
      </w:tr>
      <w:tr>
        <w:tc>
          <w:tcPr>
            <w:tcW w:type="dxa" w:w="10020"/>
            <w:tcBorders>
              <w:top w:val="none" w:color="FFFFFF" w:sz="0"/>
              <w:left w:val="none" w:color="FFFFFF" w:sz="0"/>
              <w:bottom w:val="none" w:color="FFFFFF" w:sz="0"/>
              <w:right w:val="none" w:color="FFFFFF" w:sz="0"/>
            </w:tcBorders>
            <w:shd w:fill="FFFFFF" w:color="auto" w:val="clear"/>
            <w:tcMar>
              <w:top w:type="dxa" w:w="100"/>
              <w:left w:type="dxa" w:w="180"/>
              <w:bottom w:type="dxa" w:w="140"/>
              <w:right w:type="dxa" w:w="180"/>
            </w:tcMar>
          </w:tcPr>
          <w:p>
            <w:pPr>
              <w:spacing w:after="0" w:line="260"/>
            </w:pPr>
            <w:r>
              <w:rPr>
                <w:rFonts w:ascii="Consolas" w:cs="Consolas" w:eastAsia="Consolas" w:hAnsi="Consolas"/>
                <w:b/>
                <w:bCs/>
                <w:color w:val="7A8698"/>
                <w:spacing w:val="24"/>
                <w:sz w:val="14"/>
                <w:szCs w:val="14"/>
              </w:rPr>
              <w:t xml:space="preserve">Source   </w:t>
            </w:r>
            <w:r>
              <w:rPr>
                <w:rFonts w:ascii="Consolas" w:cs="Consolas" w:eastAsia="Consolas" w:hAnsi="Consolas"/>
                <w:color w:val="7A8698"/>
                <w:sz w:val="16"/>
                <w:szCs w:val="16"/>
              </w:rPr>
              <w:t xml:space="preserve">NRFC on Diraq: "employs over 70 staff and PhD students in Sydney"</w:t>
            </w:r>
          </w:p>
        </w:tc>
      </w:tr>
    </w:tbl>
    <w:p>
      <w:pPr>
        <w:spacing w:after="150"/>
      </w:pPr>
      <w:r>
        <w:t xml:space="preserve"/>
      </w:r>
    </w:p>
    <w:tbl>
      <w:tblPr>
        <w:tblW w:type="dxa" w:w="10020"/>
        <w:tblBorders>
          <w:top w:val="single" w:color="DCE2EA" w:sz="4"/>
          <w:left w:val="single" w:color="B32636" w:sz="24"/>
          <w:bottom w:val="single" w:color="DCE2EA" w:sz="4"/>
          <w:right w:val="single" w:color="DCE2EA" w:sz="4"/>
          <w:insideH w:val="single" w:color="DCE2EA" w:sz="4"/>
          <w:insideV w:val="none" w:color="FFFFFF" w:sz="0"/>
        </w:tblBorders>
      </w:tblPr>
      <w:tblGrid>
        <w:gridCol w:w="10020"/>
      </w:tblGrid>
      <w:tr>
        <w:tc>
          <w:tcPr>
            <w:tcW w:type="dxa" w:w="10020"/>
            <w:gridSpan w:val="1"/>
            <w:tcBorders>
              <w:top w:val="none" w:color="FFFFFF" w:sz="0"/>
              <w:left w:val="none" w:color="FFFFFF" w:sz="0"/>
              <w:bottom w:val="none" w:color="FFFFFF" w:sz="0"/>
              <w:right w:val="none" w:color="FFFFFF" w:sz="0"/>
            </w:tcBorders>
            <w:shd w:fill="FFFFFF" w:color="auto" w:val="clear"/>
            <w:tcMar>
              <w:top w:type="dxa" w:w="120"/>
              <w:left w:type="dxa" w:w="180"/>
              <w:bottom w:type="dxa" w:w="60"/>
              <w:right w:type="dxa" w:w="180"/>
            </w:tcMar>
          </w:tcPr>
          <w:p>
            <w:pPr>
              <w:spacing w:after="0"/>
            </w:pPr>
            <w:r>
              <w:rPr>
                <w:rFonts w:ascii="Consolas" w:cs="Consolas" w:eastAsia="Consolas" w:hAnsi="Consolas"/>
                <w:b/>
                <w:bCs/>
                <w:color w:val="B32636"/>
                <w:sz w:val="18"/>
                <w:szCs w:val="18"/>
              </w:rPr>
              <w:t xml:space="preserve">06  </w:t>
            </w:r>
            <w:r>
              <w:rPr>
                <w:b/>
                <w:bCs/>
                <w:color w:val="141A24"/>
                <w:sz w:val="21"/>
                <w:szCs w:val="21"/>
              </w:rPr>
              <w:t xml:space="preserve">Rob Paterson — Employment Hero</w:t>
            </w:r>
            <w:r>
              <w:rPr>
                <w:rFonts w:ascii="Consolas" w:cs="Consolas" w:eastAsia="Consolas" w:hAnsi="Consolas"/>
                <w:color w:val="7A8698"/>
                <w:sz w:val="15"/>
                <w:szCs w:val="15"/>
              </w:rPr>
              <w:t xml:space="preserve">   TECH · #6</w:t>
            </w:r>
          </w:p>
        </w:tc>
      </w:tr>
      <w:tr>
        <w:tc>
          <w:tcPr>
            <w:tcW w:type="dxa" w:w="10020"/>
            <w:tcBorders>
              <w:top w:val="none" w:color="FFFFFF" w:sz="0"/>
              <w:left w:val="none" w:color="FFFFFF" w:sz="0"/>
              <w:bottom w:val="none" w:color="FFFFFF" w:sz="0"/>
              <w:right w:val="none" w:color="FFFFFF" w:sz="0"/>
            </w:tcBorders>
            <w:shd w:fill="F1F4F8" w:color="auto" w:val="clear"/>
            <w:tcMar>
              <w:top w:type="dxa" w:w="140"/>
              <w:left w:type="dxa" w:w="180"/>
              <w:bottom w:type="dxa" w:w="140"/>
              <w:right w:type="dxa" w:w="180"/>
            </w:tcMar>
          </w:tcPr>
          <w:p>
            <w:pPr>
              <w:spacing w:after="90" w:before="0"/>
            </w:pPr>
            <w:r>
              <w:rPr>
                <w:rFonts w:ascii="Consolas" w:cs="Consolas" w:eastAsia="Consolas" w:hAnsi="Consolas"/>
                <w:b/>
                <w:bCs/>
                <w:color w:val="7A8698"/>
                <w:spacing w:val="28"/>
                <w:sz w:val="14"/>
                <w:szCs w:val="14"/>
              </w:rPr>
              <w:t xml:space="preserve">CURRENTLY READS</w:t>
            </w:r>
          </w:p>
          <w:p>
            <w:pPr>
              <w:spacing w:after="200" w:line="276"/>
            </w:pPr>
            <w:r>
              <w:rPr>
                <w:i/>
                <w:iCs/>
                <w:color w:val="4E5A6B"/>
                <w:sz w:val="20"/>
                <w:szCs w:val="20"/>
              </w:rPr>
              <w:t xml:space="preserve">~US$2B valuation, ~$460M raised · "valued around US$2 billion"</w:t>
            </w:r>
          </w:p>
          <w:p>
            <w:pPr>
              <w:spacing w:after="90" w:before="0"/>
            </w:pPr>
            <w:r>
              <w:rPr>
                <w:rFonts w:ascii="Consolas" w:cs="Consolas" w:eastAsia="Consolas" w:hAnsi="Consolas"/>
                <w:b/>
                <w:bCs/>
                <w:color w:val="24558F"/>
                <w:spacing w:val="28"/>
                <w:sz w:val="14"/>
                <w:szCs w:val="14"/>
              </w:rPr>
              <w:t xml:space="preserve">CHANGE TO</w:t>
            </w:r>
          </w:p>
          <w:p>
            <w:pPr>
              <w:spacing w:after="0" w:line="276"/>
            </w:pPr>
            <w:r>
              <w:rPr>
                <w:b/>
                <w:bCs/>
                <w:color w:val="141A24"/>
                <w:sz w:val="20"/>
                <w:szCs w:val="20"/>
              </w:rPr>
              <w:t xml:space="preserve">~A$2B valuation</w:t>
            </w:r>
            <w:r>
              <w:rPr>
                <w:color w:val="141A24"/>
                <w:sz w:val="20"/>
                <w:szCs w:val="20"/>
              </w:rPr>
              <w:t xml:space="preserve"> (or ~US$1.4B). The $2bn figure is Australian dollars; CB Insights puts the October 2023 valuation at US$1.37B. As published it pairs an AUD valuation with a USD funding figure in one line.</w:t>
            </w:r>
          </w:p>
        </w:tc>
      </w:tr>
      <w:tr>
        <w:tc>
          <w:tcPr>
            <w:tcW w:type="dxa" w:w="10020"/>
            <w:tcBorders>
              <w:top w:val="none" w:color="FFFFFF" w:sz="0"/>
              <w:left w:val="none" w:color="FFFFFF" w:sz="0"/>
              <w:bottom w:val="none" w:color="FFFFFF" w:sz="0"/>
              <w:right w:val="none" w:color="FFFFFF" w:sz="0"/>
            </w:tcBorders>
            <w:shd w:fill="FFFFFF" w:color="auto" w:val="clear"/>
            <w:tcMar>
              <w:top w:type="dxa" w:w="100"/>
              <w:left w:type="dxa" w:w="180"/>
              <w:bottom w:type="dxa" w:w="140"/>
              <w:right w:type="dxa" w:w="180"/>
            </w:tcMar>
          </w:tcPr>
          <w:p>
            <w:pPr>
              <w:spacing w:after="0" w:line="260"/>
            </w:pPr>
            <w:r>
              <w:rPr>
                <w:rFonts w:ascii="Consolas" w:cs="Consolas" w:eastAsia="Consolas" w:hAnsi="Consolas"/>
                <w:b/>
                <w:bCs/>
                <w:color w:val="7A8698"/>
                <w:spacing w:val="24"/>
                <w:sz w:val="14"/>
                <w:szCs w:val="14"/>
              </w:rPr>
              <w:t xml:space="preserve">Source   </w:t>
            </w:r>
            <w:r>
              <w:rPr>
                <w:rFonts w:ascii="Consolas" w:cs="Consolas" w:eastAsia="Consolas" w:hAnsi="Consolas"/>
                <w:color w:val="7A8698"/>
                <w:sz w:val="16"/>
                <w:szCs w:val="16"/>
              </w:rPr>
              <w:t xml:space="preserve">Employment Hero Series F blog: "just shy of $2 billion" (AUD) · Forbes · CB Insights: US$1,370M valuation, US$457.93M raised</w:t>
            </w:r>
          </w:p>
        </w:tc>
      </w:tr>
    </w:tbl>
    <w:p>
      <w:pPr>
        <w:spacing w:after="150"/>
      </w:pPr>
      <w:r>
        <w:t xml:space="preserve"/>
      </w:r>
    </w:p>
    <w:p>
      <w:pPr>
        <w:spacing w:after="60" w:before="420"/>
      </w:pPr>
      <w:r>
        <w:rPr>
          <w:rFonts w:ascii="Cambria" w:cs="Cambria" w:eastAsia="Cambria" w:hAnsi="Cambria"/>
          <w:b w:val="false"/>
          <w:bCs w:val="false"/>
          <w:color w:val="141A24"/>
          <w:sz w:val="32"/>
          <w:szCs w:val="32"/>
        </w:rPr>
        <w:t xml:space="preserve">Out of date</w:t>
      </w:r>
      <w:r>
        <w:rPr>
          <w:rFonts w:ascii="Consolas" w:cs="Consolas" w:eastAsia="Consolas" w:hAnsi="Consolas"/>
          <w:b/>
          <w:bCs/>
          <w:color w:val="8A5806"/>
          <w:spacing w:val="20"/>
          <w:sz w:val="16"/>
          <w:szCs w:val="16"/>
        </w:rPr>
        <w:t xml:space="preserve">     5 · UNDERSTATES</w:t>
      </w:r>
    </w:p>
    <w:p>
      <w:pPr>
        <w:pBdr>
          <w:bottom w:val="single" w:color="C3CCD8" w:sz="8"/>
        </w:pBdr>
        <w:spacing w:after="200" w:before="0"/>
      </w:pPr>
      <w:r>
        <w:t xml:space="preserve"/>
      </w:r>
    </w:p>
    <w:p>
      <w:pPr>
        <w:spacing w:after="240" w:line="276"/>
      </w:pPr>
      <w:r>
        <w:rPr>
          <w:color w:val="4E5A6B"/>
          <w:sz w:val="20"/>
          <w:szCs w:val="20"/>
        </w:rPr>
        <w:t xml:space="preserve">Accurate when the round closed, but superseded. In a 2026 list these undersell the companies, and two hold the Scale score down.</w:t>
      </w:r>
    </w:p>
    <w:tbl>
      <w:tblPr>
        <w:tblW w:type="dxa" w:w="10020"/>
        <w:tblBorders>
          <w:top w:val="single" w:color="DCE2EA" w:sz="4"/>
          <w:left w:val="single" w:color="8A5806" w:sz="24"/>
          <w:bottom w:val="single" w:color="DCE2EA" w:sz="4"/>
          <w:right w:val="single" w:color="DCE2EA" w:sz="4"/>
          <w:insideH w:val="single" w:color="DCE2EA" w:sz="4"/>
          <w:insideV w:val="none" w:color="FFFFFF" w:sz="0"/>
        </w:tblBorders>
      </w:tblPr>
      <w:tblGrid>
        <w:gridCol w:w="10020"/>
      </w:tblGrid>
      <w:tr>
        <w:tc>
          <w:tcPr>
            <w:tcW w:type="dxa" w:w="10020"/>
            <w:gridSpan w:val="1"/>
            <w:tcBorders>
              <w:top w:val="none" w:color="FFFFFF" w:sz="0"/>
              <w:left w:val="none" w:color="FFFFFF" w:sz="0"/>
              <w:bottom w:val="none" w:color="FFFFFF" w:sz="0"/>
              <w:right w:val="none" w:color="FFFFFF" w:sz="0"/>
            </w:tcBorders>
            <w:shd w:fill="FFFFFF" w:color="auto" w:val="clear"/>
            <w:tcMar>
              <w:top w:type="dxa" w:w="120"/>
              <w:left w:type="dxa" w:w="180"/>
              <w:bottom w:type="dxa" w:w="60"/>
              <w:right w:type="dxa" w:w="180"/>
            </w:tcMar>
          </w:tcPr>
          <w:p>
            <w:pPr>
              <w:spacing w:after="0"/>
            </w:pPr>
            <w:r>
              <w:rPr>
                <w:rFonts w:ascii="Consolas" w:cs="Consolas" w:eastAsia="Consolas" w:hAnsi="Consolas"/>
                <w:b/>
                <w:bCs/>
                <w:color w:val="8A5806"/>
                <w:sz w:val="18"/>
                <w:szCs w:val="18"/>
              </w:rPr>
              <w:t xml:space="preserve">07  </w:t>
            </w:r>
            <w:r>
              <w:rPr>
                <w:b/>
                <w:bCs/>
                <w:color w:val="141A24"/>
                <w:sz w:val="21"/>
                <w:szCs w:val="21"/>
              </w:rPr>
              <w:t xml:space="preserve">Federico Tata Nardini — Fleet Space</w:t>
            </w:r>
            <w:r>
              <w:rPr>
                <w:rFonts w:ascii="Consolas" w:cs="Consolas" w:eastAsia="Consolas" w:hAnsi="Consolas"/>
                <w:color w:val="7A8698"/>
                <w:sz w:val="15"/>
                <w:szCs w:val="15"/>
              </w:rPr>
              <w:t xml:space="preserve">   DEEP TECH · #2</w:t>
            </w:r>
          </w:p>
        </w:tc>
      </w:tr>
      <w:tr>
        <w:tc>
          <w:tcPr>
            <w:tcW w:type="dxa" w:w="10020"/>
            <w:tcBorders>
              <w:top w:val="none" w:color="FFFFFF" w:sz="0"/>
              <w:left w:val="none" w:color="FFFFFF" w:sz="0"/>
              <w:bottom w:val="none" w:color="FFFFFF" w:sz="0"/>
              <w:right w:val="none" w:color="FFFFFF" w:sz="0"/>
            </w:tcBorders>
            <w:shd w:fill="F1F4F8" w:color="auto" w:val="clear"/>
            <w:tcMar>
              <w:top w:type="dxa" w:w="140"/>
              <w:left w:type="dxa" w:w="180"/>
              <w:bottom w:type="dxa" w:w="140"/>
              <w:right w:type="dxa" w:w="180"/>
            </w:tcMar>
          </w:tcPr>
          <w:p>
            <w:pPr>
              <w:spacing w:after="90" w:before="0"/>
            </w:pPr>
            <w:r>
              <w:rPr>
                <w:rFonts w:ascii="Consolas" w:cs="Consolas" w:eastAsia="Consolas" w:hAnsi="Consolas"/>
                <w:b/>
                <w:bCs/>
                <w:color w:val="7A8698"/>
                <w:spacing w:val="28"/>
                <w:sz w:val="14"/>
                <w:szCs w:val="14"/>
              </w:rPr>
              <w:t xml:space="preserve">CURRENTLY READS</w:t>
            </w:r>
          </w:p>
          <w:p>
            <w:pPr>
              <w:spacing w:after="200" w:line="276"/>
            </w:pPr>
            <w:r>
              <w:rPr>
                <w:i/>
                <w:iCs/>
                <w:color w:val="4E5A6B"/>
                <w:sz w:val="20"/>
                <w:szCs w:val="20"/>
              </w:rPr>
              <w:t xml:space="preserve">"120+ staff, Series C A$50M" · titled "Group CFO"</w:t>
            </w:r>
          </w:p>
          <w:p>
            <w:pPr>
              <w:spacing w:after="90" w:before="0"/>
            </w:pPr>
            <w:r>
              <w:rPr>
                <w:rFonts w:ascii="Consolas" w:cs="Consolas" w:eastAsia="Consolas" w:hAnsi="Consolas"/>
                <w:b/>
                <w:bCs/>
                <w:color w:val="24558F"/>
                <w:spacing w:val="28"/>
                <w:sz w:val="14"/>
                <w:szCs w:val="14"/>
              </w:rPr>
              <w:t xml:space="preserve">CHANGE TO</w:t>
            </w:r>
          </w:p>
          <w:p>
            <w:pPr>
              <w:spacing w:after="0" w:line="276"/>
            </w:pPr>
            <w:r>
              <w:rPr>
                <w:b/>
                <w:bCs/>
                <w:color w:val="141A24"/>
                <w:sz w:val="20"/>
                <w:szCs w:val="20"/>
              </w:rPr>
              <w:t xml:space="preserve">Series D A$150M at an A$800M+ valuation</w:t>
            </w:r>
            <w:r>
              <w:rPr>
                <w:color w:val="141A24"/>
                <w:sz w:val="20"/>
                <w:szCs w:val="20"/>
              </w:rPr>
              <w:t xml:space="preserve">, led by Ontario Teachers’ Venture Growth, December 2024. The A$50M Series C closed in May 2023. Separately, Fleet’s own release gives his title as </w:t>
            </w:r>
            <w:r>
              <w:rPr>
                <w:b/>
                <w:bCs/>
                <w:color w:val="141A24"/>
                <w:sz w:val="20"/>
                <w:szCs w:val="20"/>
              </w:rPr>
              <w:t xml:space="preserve">"Chief Financial Officer and Chief Investment Officer"</w:t>
            </w:r>
            <w:r>
              <w:rPr>
                <w:color w:val="141A24"/>
                <w:sz w:val="20"/>
                <w:szCs w:val="20"/>
              </w:rPr>
              <w:t xml:space="preserve"> — not Group CFO.</w:t>
            </w:r>
          </w:p>
        </w:tc>
      </w:tr>
      <w:tr>
        <w:tc>
          <w:tcPr>
            <w:tcW w:type="dxa" w:w="10020"/>
            <w:tcBorders>
              <w:top w:val="none" w:color="FFFFFF" w:sz="0"/>
              <w:left w:val="none" w:color="FFFFFF" w:sz="0"/>
              <w:bottom w:val="none" w:color="FFFFFF" w:sz="0"/>
              <w:right w:val="none" w:color="FFFFFF" w:sz="0"/>
            </w:tcBorders>
            <w:shd w:fill="FFFFFF" w:color="auto" w:val="clear"/>
            <w:tcMar>
              <w:top w:type="dxa" w:w="100"/>
              <w:left w:type="dxa" w:w="180"/>
              <w:bottom w:type="dxa" w:w="140"/>
              <w:right w:type="dxa" w:w="180"/>
            </w:tcMar>
          </w:tcPr>
          <w:p>
            <w:pPr>
              <w:spacing w:after="0" w:line="260"/>
            </w:pPr>
            <w:r>
              <w:rPr>
                <w:rFonts w:ascii="Consolas" w:cs="Consolas" w:eastAsia="Consolas" w:hAnsi="Consolas"/>
                <w:b/>
                <w:bCs/>
                <w:color w:val="7A8698"/>
                <w:spacing w:val="24"/>
                <w:sz w:val="14"/>
                <w:szCs w:val="14"/>
              </w:rPr>
              <w:t xml:space="preserve">Source   </w:t>
            </w:r>
            <w:r>
              <w:rPr>
                <w:rFonts w:ascii="Consolas" w:cs="Consolas" w:eastAsia="Consolas" w:hAnsi="Consolas"/>
                <w:color w:val="7A8698"/>
                <w:sz w:val="16"/>
                <w:szCs w:val="16"/>
              </w:rPr>
              <w:t xml:space="preserve">Fleet Space Series D release · TechCrunch, 12 Dec 2024 · SpaceNews: total venture funding "more than $165 million"</w:t>
            </w:r>
          </w:p>
        </w:tc>
      </w:tr>
    </w:tbl>
    <w:p>
      <w:pPr>
        <w:spacing w:after="150"/>
      </w:pPr>
      <w:r>
        <w:t xml:space="preserve"/>
      </w:r>
    </w:p>
    <w:tbl>
      <w:tblPr>
        <w:tblW w:type="dxa" w:w="10020"/>
        <w:tblBorders>
          <w:top w:val="single" w:color="DCE2EA" w:sz="4"/>
          <w:left w:val="single" w:color="8A5806" w:sz="24"/>
          <w:bottom w:val="single" w:color="DCE2EA" w:sz="4"/>
          <w:right w:val="single" w:color="DCE2EA" w:sz="4"/>
          <w:insideH w:val="single" w:color="DCE2EA" w:sz="4"/>
          <w:insideV w:val="none" w:color="FFFFFF" w:sz="0"/>
        </w:tblBorders>
      </w:tblPr>
      <w:tblGrid>
        <w:gridCol w:w="10020"/>
      </w:tblGrid>
      <w:tr>
        <w:tc>
          <w:tcPr>
            <w:tcW w:type="dxa" w:w="10020"/>
            <w:gridSpan w:val="1"/>
            <w:tcBorders>
              <w:top w:val="none" w:color="FFFFFF" w:sz="0"/>
              <w:left w:val="none" w:color="FFFFFF" w:sz="0"/>
              <w:bottom w:val="none" w:color="FFFFFF" w:sz="0"/>
              <w:right w:val="none" w:color="FFFFFF" w:sz="0"/>
            </w:tcBorders>
            <w:shd w:fill="FFFFFF" w:color="auto" w:val="clear"/>
            <w:tcMar>
              <w:top w:type="dxa" w:w="120"/>
              <w:left w:type="dxa" w:w="180"/>
              <w:bottom w:type="dxa" w:w="60"/>
              <w:right w:type="dxa" w:w="180"/>
            </w:tcMar>
          </w:tcPr>
          <w:p>
            <w:pPr>
              <w:spacing w:after="0"/>
            </w:pPr>
            <w:r>
              <w:rPr>
                <w:rFonts w:ascii="Consolas" w:cs="Consolas" w:eastAsia="Consolas" w:hAnsi="Consolas"/>
                <w:b/>
                <w:bCs/>
                <w:color w:val="8A5806"/>
                <w:sz w:val="18"/>
                <w:szCs w:val="18"/>
              </w:rPr>
              <w:t xml:space="preserve">08  </w:t>
            </w:r>
            <w:r>
              <w:rPr>
                <w:b/>
                <w:bCs/>
                <w:color w:val="141A24"/>
                <w:sz w:val="21"/>
                <w:szCs w:val="21"/>
              </w:rPr>
              <w:t xml:space="preserve">Edelita Tichepco — SafetyCulture</w:t>
            </w:r>
            <w:r>
              <w:rPr>
                <w:rFonts w:ascii="Consolas" w:cs="Consolas" w:eastAsia="Consolas" w:hAnsi="Consolas"/>
                <w:color w:val="7A8698"/>
                <w:sz w:val="15"/>
                <w:szCs w:val="15"/>
              </w:rPr>
              <w:t xml:space="preserve">   TECH · #7</w:t>
            </w:r>
          </w:p>
        </w:tc>
      </w:tr>
      <w:tr>
        <w:tc>
          <w:tcPr>
            <w:tcW w:type="dxa" w:w="10020"/>
            <w:tcBorders>
              <w:top w:val="none" w:color="FFFFFF" w:sz="0"/>
              <w:left w:val="none" w:color="FFFFFF" w:sz="0"/>
              <w:bottom w:val="none" w:color="FFFFFF" w:sz="0"/>
              <w:right w:val="none" w:color="FFFFFF" w:sz="0"/>
            </w:tcBorders>
            <w:shd w:fill="F1F4F8" w:color="auto" w:val="clear"/>
            <w:tcMar>
              <w:top w:type="dxa" w:w="140"/>
              <w:left w:type="dxa" w:w="180"/>
              <w:bottom w:type="dxa" w:w="140"/>
              <w:right w:type="dxa" w:w="180"/>
            </w:tcMar>
          </w:tcPr>
          <w:p>
            <w:pPr>
              <w:spacing w:after="90" w:before="0"/>
            </w:pPr>
            <w:r>
              <w:rPr>
                <w:rFonts w:ascii="Consolas" w:cs="Consolas" w:eastAsia="Consolas" w:hAnsi="Consolas"/>
                <w:b/>
                <w:bCs/>
                <w:color w:val="7A8698"/>
                <w:spacing w:val="28"/>
                <w:sz w:val="14"/>
                <w:szCs w:val="14"/>
              </w:rPr>
              <w:t xml:space="preserve">CURRENTLY READS</w:t>
            </w:r>
          </w:p>
          <w:p>
            <w:pPr>
              <w:spacing w:after="200" w:line="276"/>
            </w:pPr>
            <w:r>
              <w:rPr>
                <w:i/>
                <w:iCs/>
                <w:color w:val="4E5A6B"/>
                <w:sz w:val="20"/>
                <w:szCs w:val="20"/>
              </w:rPr>
              <w:t xml:space="preserve">"~A$2.7B valuation"</w:t>
            </w:r>
          </w:p>
          <w:p>
            <w:pPr>
              <w:spacing w:after="90" w:before="0"/>
            </w:pPr>
            <w:r>
              <w:rPr>
                <w:rFonts w:ascii="Consolas" w:cs="Consolas" w:eastAsia="Consolas" w:hAnsi="Consolas"/>
                <w:b/>
                <w:bCs/>
                <w:color w:val="24558F"/>
                <w:spacing w:val="28"/>
                <w:sz w:val="14"/>
                <w:szCs w:val="14"/>
              </w:rPr>
              <w:t xml:space="preserve">CHANGE TO</w:t>
            </w:r>
          </w:p>
          <w:p>
            <w:pPr>
              <w:spacing w:after="0" w:line="276"/>
            </w:pPr>
            <w:r>
              <w:rPr>
                <w:b/>
                <w:bCs/>
                <w:color w:val="141A24"/>
                <w:sz w:val="20"/>
                <w:szCs w:val="20"/>
              </w:rPr>
              <w:t xml:space="preserve">~A$2.5B.</w:t>
            </w:r>
            <w:r>
              <w:rPr>
                <w:color w:val="141A24"/>
                <w:sz w:val="20"/>
                <w:szCs w:val="20"/>
              </w:rPr>
              <w:t xml:space="preserve"> Every source on the August 2026 rebrand puts it at $2.5 billion — the valuation fell $200M to $2.5B in the 2024 raise and has been reported there since.</w:t>
            </w:r>
          </w:p>
        </w:tc>
      </w:tr>
      <w:tr>
        <w:tc>
          <w:tcPr>
            <w:tcW w:type="dxa" w:w="10020"/>
            <w:tcBorders>
              <w:top w:val="none" w:color="FFFFFF" w:sz="0"/>
              <w:left w:val="none" w:color="FFFFFF" w:sz="0"/>
              <w:bottom w:val="none" w:color="FFFFFF" w:sz="0"/>
              <w:right w:val="none" w:color="FFFFFF" w:sz="0"/>
            </w:tcBorders>
            <w:shd w:fill="FFFFFF" w:color="auto" w:val="clear"/>
            <w:tcMar>
              <w:top w:type="dxa" w:w="100"/>
              <w:left w:type="dxa" w:w="180"/>
              <w:bottom w:type="dxa" w:w="140"/>
              <w:right w:type="dxa" w:w="180"/>
            </w:tcMar>
          </w:tcPr>
          <w:p>
            <w:pPr>
              <w:spacing w:after="0" w:line="260"/>
            </w:pPr>
            <w:r>
              <w:rPr>
                <w:rFonts w:ascii="Consolas" w:cs="Consolas" w:eastAsia="Consolas" w:hAnsi="Consolas"/>
                <w:b/>
                <w:bCs/>
                <w:color w:val="7A8698"/>
                <w:spacing w:val="24"/>
                <w:sz w:val="14"/>
                <w:szCs w:val="14"/>
              </w:rPr>
              <w:t xml:space="preserve">Source   </w:t>
            </w:r>
            <w:r>
              <w:rPr>
                <w:rFonts w:ascii="Consolas" w:cs="Consolas" w:eastAsia="Consolas" w:hAnsi="Consolas"/>
                <w:color w:val="7A8698"/>
                <w:sz w:val="16"/>
                <w:szCs w:val="16"/>
              </w:rPr>
              <w:t xml:space="preserve">Forbes Australia, 11 Aug 2026: "the $2.5 billion startup" · SmartCompany, 11 Aug 2026 · Startup Daily</w:t>
            </w:r>
          </w:p>
        </w:tc>
      </w:tr>
    </w:tbl>
    <w:p>
      <w:pPr>
        <w:spacing w:after="150"/>
      </w:pPr>
      <w:r>
        <w:t xml:space="preserve"/>
      </w:r>
    </w:p>
    <w:tbl>
      <w:tblPr>
        <w:tblW w:type="dxa" w:w="10020"/>
        <w:tblBorders>
          <w:top w:val="single" w:color="DCE2EA" w:sz="4"/>
          <w:left w:val="single" w:color="8A5806" w:sz="24"/>
          <w:bottom w:val="single" w:color="DCE2EA" w:sz="4"/>
          <w:right w:val="single" w:color="DCE2EA" w:sz="4"/>
          <w:insideH w:val="single" w:color="DCE2EA" w:sz="4"/>
          <w:insideV w:val="none" w:color="FFFFFF" w:sz="0"/>
        </w:tblBorders>
      </w:tblPr>
      <w:tblGrid>
        <w:gridCol w:w="10020"/>
      </w:tblGrid>
      <w:tr>
        <w:tc>
          <w:tcPr>
            <w:tcW w:type="dxa" w:w="10020"/>
            <w:gridSpan w:val="1"/>
            <w:tcBorders>
              <w:top w:val="none" w:color="FFFFFF" w:sz="0"/>
              <w:left w:val="none" w:color="FFFFFF" w:sz="0"/>
              <w:bottom w:val="none" w:color="FFFFFF" w:sz="0"/>
              <w:right w:val="none" w:color="FFFFFF" w:sz="0"/>
            </w:tcBorders>
            <w:shd w:fill="FFFFFF" w:color="auto" w:val="clear"/>
            <w:tcMar>
              <w:top w:type="dxa" w:w="120"/>
              <w:left w:type="dxa" w:w="180"/>
              <w:bottom w:type="dxa" w:w="60"/>
              <w:right w:type="dxa" w:w="180"/>
            </w:tcMar>
          </w:tcPr>
          <w:p>
            <w:pPr>
              <w:spacing w:after="0"/>
            </w:pPr>
            <w:r>
              <w:rPr>
                <w:rFonts w:ascii="Consolas" w:cs="Consolas" w:eastAsia="Consolas" w:hAnsi="Consolas"/>
                <w:b/>
                <w:bCs/>
                <w:color w:val="8A5806"/>
                <w:sz w:val="18"/>
                <w:szCs w:val="18"/>
              </w:rPr>
              <w:t xml:space="preserve">09  </w:t>
            </w:r>
            <w:r>
              <w:rPr>
                <w:b/>
                <w:bCs/>
                <w:color w:val="141A24"/>
                <w:sz w:val="21"/>
                <w:szCs w:val="21"/>
              </w:rPr>
              <w:t xml:space="preserve">Lasantha Thennakoon — Diraq</w:t>
            </w:r>
            <w:r>
              <w:rPr>
                <w:rFonts w:ascii="Consolas" w:cs="Consolas" w:eastAsia="Consolas" w:hAnsi="Consolas"/>
                <w:color w:val="7A8698"/>
                <w:sz w:val="15"/>
                <w:szCs w:val="15"/>
              </w:rPr>
              <w:t xml:space="preserve">   DEEP TECH · #6</w:t>
            </w:r>
          </w:p>
        </w:tc>
      </w:tr>
      <w:tr>
        <w:tc>
          <w:tcPr>
            <w:tcW w:type="dxa" w:w="10020"/>
            <w:tcBorders>
              <w:top w:val="none" w:color="FFFFFF" w:sz="0"/>
              <w:left w:val="none" w:color="FFFFFF" w:sz="0"/>
              <w:bottom w:val="none" w:color="FFFFFF" w:sz="0"/>
              <w:right w:val="none" w:color="FFFFFF" w:sz="0"/>
            </w:tcBorders>
            <w:shd w:fill="F1F4F8" w:color="auto" w:val="clear"/>
            <w:tcMar>
              <w:top w:type="dxa" w:w="140"/>
              <w:left w:type="dxa" w:w="180"/>
              <w:bottom w:type="dxa" w:w="140"/>
              <w:right w:type="dxa" w:w="180"/>
            </w:tcMar>
          </w:tcPr>
          <w:p>
            <w:pPr>
              <w:spacing w:after="90" w:before="0"/>
            </w:pPr>
            <w:r>
              <w:rPr>
                <w:rFonts w:ascii="Consolas" w:cs="Consolas" w:eastAsia="Consolas" w:hAnsi="Consolas"/>
                <w:b/>
                <w:bCs/>
                <w:color w:val="7A8698"/>
                <w:spacing w:val="28"/>
                <w:sz w:val="14"/>
                <w:szCs w:val="14"/>
              </w:rPr>
              <w:t xml:space="preserve">CURRENTLY READS</w:t>
            </w:r>
          </w:p>
          <w:p>
            <w:pPr>
              <w:spacing w:after="200" w:line="276"/>
            </w:pPr>
            <w:r>
              <w:rPr>
                <w:i/>
                <w:iCs/>
                <w:color w:val="4E5A6B"/>
                <w:sz w:val="20"/>
                <w:szCs w:val="20"/>
              </w:rPr>
              <w:t xml:space="preserve">"US$120M+ raised incl. government programs"</w:t>
            </w:r>
          </w:p>
          <w:p>
            <w:pPr>
              <w:spacing w:after="90" w:before="0"/>
            </w:pPr>
            <w:r>
              <w:rPr>
                <w:rFonts w:ascii="Consolas" w:cs="Consolas" w:eastAsia="Consolas" w:hAnsi="Consolas"/>
                <w:b/>
                <w:bCs/>
                <w:color w:val="24558F"/>
                <w:spacing w:val="28"/>
                <w:sz w:val="14"/>
                <w:szCs w:val="14"/>
              </w:rPr>
              <w:t xml:space="preserve">CHANGE TO</w:t>
            </w:r>
          </w:p>
          <w:p>
            <w:pPr>
              <w:spacing w:after="0" w:line="276"/>
            </w:pPr>
            <w:r>
              <w:rPr>
                <w:b/>
                <w:bCs/>
                <w:color w:val="141A24"/>
                <w:sz w:val="20"/>
                <w:szCs w:val="20"/>
              </w:rPr>
              <w:t xml:space="preserve">US$150M+.</w:t>
            </w:r>
            <w:r>
              <w:rPr>
                <w:color w:val="141A24"/>
                <w:sz w:val="20"/>
                <w:szCs w:val="20"/>
              </w:rPr>
              <w:t xml:space="preserve"> UNSW now states "over USD$150 million in grant and venture capital funding to date". Diraq also closed a </w:t>
            </w:r>
            <w:r>
              <w:rPr>
                <w:b/>
                <w:bCs/>
                <w:color w:val="141A24"/>
                <w:sz w:val="20"/>
                <w:szCs w:val="20"/>
              </w:rPr>
              <w:t xml:space="preserve">$100M+ Series A in February 2026</w:t>
            </w:r>
            <w:r>
              <w:rPr>
                <w:color w:val="141A24"/>
                <w:sz w:val="20"/>
                <w:szCs w:val="20"/>
              </w:rPr>
              <w:t xml:space="preserve"> with a $20M NRFC equity stake, and has flagged a Series B for later in 2026 — worth a line.</w:t>
            </w:r>
          </w:p>
        </w:tc>
      </w:tr>
      <w:tr>
        <w:tc>
          <w:tcPr>
            <w:tcW w:type="dxa" w:w="10020"/>
            <w:tcBorders>
              <w:top w:val="none" w:color="FFFFFF" w:sz="0"/>
              <w:left w:val="none" w:color="FFFFFF" w:sz="0"/>
              <w:bottom w:val="none" w:color="FFFFFF" w:sz="0"/>
              <w:right w:val="none" w:color="FFFFFF" w:sz="0"/>
            </w:tcBorders>
            <w:shd w:fill="FFFFFF" w:color="auto" w:val="clear"/>
            <w:tcMar>
              <w:top w:type="dxa" w:w="100"/>
              <w:left w:type="dxa" w:w="180"/>
              <w:bottom w:type="dxa" w:w="140"/>
              <w:right w:type="dxa" w:w="180"/>
            </w:tcMar>
          </w:tcPr>
          <w:p>
            <w:pPr>
              <w:spacing w:after="0" w:line="260"/>
            </w:pPr>
            <w:r>
              <w:rPr>
                <w:rFonts w:ascii="Consolas" w:cs="Consolas" w:eastAsia="Consolas" w:hAnsi="Consolas"/>
                <w:b/>
                <w:bCs/>
                <w:color w:val="7A8698"/>
                <w:spacing w:val="24"/>
                <w:sz w:val="14"/>
                <w:szCs w:val="14"/>
              </w:rPr>
              <w:t xml:space="preserve">Source   </w:t>
            </w:r>
            <w:r>
              <w:rPr>
                <w:rFonts w:ascii="Consolas" w:cs="Consolas" w:eastAsia="Consolas" w:hAnsi="Consolas"/>
                <w:color w:val="7A8698"/>
                <w:sz w:val="16"/>
                <w:szCs w:val="16"/>
              </w:rPr>
              <w:t xml:space="preserve">UNSW investment portfolio page · The Biggish, 2 Feb 2026 · eeNews Europe, 12 Feb 2024 (source of the original figure)</w:t>
            </w:r>
          </w:p>
        </w:tc>
      </w:tr>
    </w:tbl>
    <w:p>
      <w:pPr>
        <w:spacing w:after="150"/>
      </w:pPr>
      <w:r>
        <w:t xml:space="preserve"/>
      </w:r>
    </w:p>
    <w:tbl>
      <w:tblPr>
        <w:tblW w:type="dxa" w:w="10020"/>
        <w:tblBorders>
          <w:top w:val="single" w:color="DCE2EA" w:sz="4"/>
          <w:left w:val="single" w:color="8A5806" w:sz="24"/>
          <w:bottom w:val="single" w:color="DCE2EA" w:sz="4"/>
          <w:right w:val="single" w:color="DCE2EA" w:sz="4"/>
          <w:insideH w:val="single" w:color="DCE2EA" w:sz="4"/>
          <w:insideV w:val="none" w:color="FFFFFF" w:sz="0"/>
        </w:tblBorders>
      </w:tblPr>
      <w:tblGrid>
        <w:gridCol w:w="10020"/>
      </w:tblGrid>
      <w:tr>
        <w:tc>
          <w:tcPr>
            <w:tcW w:type="dxa" w:w="10020"/>
            <w:gridSpan w:val="1"/>
            <w:tcBorders>
              <w:top w:val="none" w:color="FFFFFF" w:sz="0"/>
              <w:left w:val="none" w:color="FFFFFF" w:sz="0"/>
              <w:bottom w:val="none" w:color="FFFFFF" w:sz="0"/>
              <w:right w:val="none" w:color="FFFFFF" w:sz="0"/>
            </w:tcBorders>
            <w:shd w:fill="FFFFFF" w:color="auto" w:val="clear"/>
            <w:tcMar>
              <w:top w:type="dxa" w:w="120"/>
              <w:left w:type="dxa" w:w="180"/>
              <w:bottom w:type="dxa" w:w="60"/>
              <w:right w:type="dxa" w:w="180"/>
            </w:tcMar>
          </w:tcPr>
          <w:p>
            <w:pPr>
              <w:spacing w:after="0"/>
            </w:pPr>
            <w:r>
              <w:rPr>
                <w:rFonts w:ascii="Consolas" w:cs="Consolas" w:eastAsia="Consolas" w:hAnsi="Consolas"/>
                <w:b/>
                <w:bCs/>
                <w:color w:val="8A5806"/>
                <w:sz w:val="18"/>
                <w:szCs w:val="18"/>
              </w:rPr>
              <w:t xml:space="preserve">10  </w:t>
            </w:r>
            <w:r>
              <w:rPr>
                <w:b/>
                <w:bCs/>
                <w:color w:val="141A24"/>
                <w:sz w:val="21"/>
                <w:szCs w:val="21"/>
              </w:rPr>
              <w:t xml:space="preserve">Ashley Hasforth — Gilmour Space</w:t>
            </w:r>
            <w:r>
              <w:rPr>
                <w:rFonts w:ascii="Consolas" w:cs="Consolas" w:eastAsia="Consolas" w:hAnsi="Consolas"/>
                <w:color w:val="7A8698"/>
                <w:sz w:val="15"/>
                <w:szCs w:val="15"/>
              </w:rPr>
              <w:t xml:space="preserve">   DEEP TECH · #3</w:t>
            </w:r>
          </w:p>
        </w:tc>
      </w:tr>
      <w:tr>
        <w:tc>
          <w:tcPr>
            <w:tcW w:type="dxa" w:w="10020"/>
            <w:tcBorders>
              <w:top w:val="none" w:color="FFFFFF" w:sz="0"/>
              <w:left w:val="none" w:color="FFFFFF" w:sz="0"/>
              <w:bottom w:val="none" w:color="FFFFFF" w:sz="0"/>
              <w:right w:val="none" w:color="FFFFFF" w:sz="0"/>
            </w:tcBorders>
            <w:shd w:fill="F1F4F8" w:color="auto" w:val="clear"/>
            <w:tcMar>
              <w:top w:type="dxa" w:w="140"/>
              <w:left w:type="dxa" w:w="180"/>
              <w:bottom w:type="dxa" w:w="140"/>
              <w:right w:type="dxa" w:w="180"/>
            </w:tcMar>
          </w:tcPr>
          <w:p>
            <w:pPr>
              <w:spacing w:after="90" w:before="0"/>
            </w:pPr>
            <w:r>
              <w:rPr>
                <w:rFonts w:ascii="Consolas" w:cs="Consolas" w:eastAsia="Consolas" w:hAnsi="Consolas"/>
                <w:b/>
                <w:bCs/>
                <w:color w:val="7A8698"/>
                <w:spacing w:val="28"/>
                <w:sz w:val="14"/>
                <w:szCs w:val="14"/>
              </w:rPr>
              <w:t xml:space="preserve">CURRENTLY READS</w:t>
            </w:r>
          </w:p>
          <w:p>
            <w:pPr>
              <w:spacing w:after="200" w:line="276"/>
            </w:pPr>
            <w:r>
              <w:rPr>
                <w:i/>
                <w:iCs/>
                <w:color w:val="4E5A6B"/>
                <w:sz w:val="20"/>
                <w:szCs w:val="20"/>
              </w:rPr>
              <w:t xml:space="preserve">Series C used as the scale marker</w:t>
            </w:r>
          </w:p>
          <w:p>
            <w:pPr>
              <w:spacing w:after="90" w:before="0"/>
            </w:pPr>
            <w:r>
              <w:rPr>
                <w:rFonts w:ascii="Consolas" w:cs="Consolas" w:eastAsia="Consolas" w:hAnsi="Consolas"/>
                <w:b/>
                <w:bCs/>
                <w:color w:val="24558F"/>
                <w:spacing w:val="28"/>
                <w:sz w:val="14"/>
                <w:szCs w:val="14"/>
              </w:rPr>
              <w:t xml:space="preserve">CHANGE TO</w:t>
            </w:r>
          </w:p>
          <w:p>
            <w:pPr>
              <w:spacing w:after="0" w:line="276"/>
            </w:pPr>
            <w:r>
              <w:rPr>
                <w:color w:val="141A24"/>
                <w:sz w:val="20"/>
                <w:szCs w:val="20"/>
              </w:rPr>
              <w:t xml:space="preserve">Reference the </w:t>
            </w:r>
            <w:r>
              <w:rPr>
                <w:b/>
                <w:bCs/>
                <w:color w:val="141A24"/>
                <w:sz w:val="20"/>
                <w:szCs w:val="20"/>
              </w:rPr>
              <w:t xml:space="preserve">Series E</w:t>
            </w:r>
            <w:r>
              <w:rPr>
                <w:color w:val="141A24"/>
                <w:sz w:val="20"/>
                <w:szCs w:val="20"/>
              </w:rPr>
              <w:t xml:space="preserve">, led by Hostplus and the National Reconstruction Fund Corporation. The Series C closed in June 2021, five years before this list.</w:t>
            </w:r>
          </w:p>
        </w:tc>
      </w:tr>
      <w:tr>
        <w:tc>
          <w:tcPr>
            <w:tcW w:type="dxa" w:w="10020"/>
            <w:tcBorders>
              <w:top w:val="none" w:color="FFFFFF" w:sz="0"/>
              <w:left w:val="none" w:color="FFFFFF" w:sz="0"/>
              <w:bottom w:val="none" w:color="FFFFFF" w:sz="0"/>
              <w:right w:val="none" w:color="FFFFFF" w:sz="0"/>
            </w:tcBorders>
            <w:shd w:fill="FFFFFF" w:color="auto" w:val="clear"/>
            <w:tcMar>
              <w:top w:type="dxa" w:w="100"/>
              <w:left w:type="dxa" w:w="180"/>
              <w:bottom w:type="dxa" w:w="140"/>
              <w:right w:type="dxa" w:w="180"/>
            </w:tcMar>
          </w:tcPr>
          <w:p>
            <w:pPr>
              <w:spacing w:after="0" w:line="260"/>
            </w:pPr>
            <w:r>
              <w:rPr>
                <w:rFonts w:ascii="Consolas" w:cs="Consolas" w:eastAsia="Consolas" w:hAnsi="Consolas"/>
                <w:b/>
                <w:bCs/>
                <w:color w:val="7A8698"/>
                <w:spacing w:val="24"/>
                <w:sz w:val="14"/>
                <w:szCs w:val="14"/>
              </w:rPr>
              <w:t xml:space="preserve">Source   </w:t>
            </w:r>
            <w:r>
              <w:rPr>
                <w:rFonts w:ascii="Consolas" w:cs="Consolas" w:eastAsia="Consolas" w:hAnsi="Consolas"/>
                <w:color w:val="7A8698"/>
                <w:sz w:val="16"/>
                <w:szCs w:val="16"/>
              </w:rPr>
              <w:t xml:space="preserve">Gilmour Space funding history, incl. Series E led by Hostplus and NRFC</w:t>
            </w:r>
          </w:p>
        </w:tc>
      </w:tr>
    </w:tbl>
    <w:p>
      <w:pPr>
        <w:spacing w:after="150"/>
      </w:pPr>
      <w:r>
        <w:t xml:space="preserve"/>
      </w:r>
    </w:p>
    <w:tbl>
      <w:tblPr>
        <w:tblW w:type="dxa" w:w="10020"/>
        <w:tblBorders>
          <w:top w:val="single" w:color="DCE2EA" w:sz="4"/>
          <w:left w:val="single" w:color="8A5806" w:sz="24"/>
          <w:bottom w:val="single" w:color="DCE2EA" w:sz="4"/>
          <w:right w:val="single" w:color="DCE2EA" w:sz="4"/>
          <w:insideH w:val="single" w:color="DCE2EA" w:sz="4"/>
          <w:insideV w:val="none" w:color="FFFFFF" w:sz="0"/>
        </w:tblBorders>
      </w:tblPr>
      <w:tblGrid>
        <w:gridCol w:w="10020"/>
      </w:tblGrid>
      <w:tr>
        <w:tc>
          <w:tcPr>
            <w:tcW w:type="dxa" w:w="10020"/>
            <w:gridSpan w:val="1"/>
            <w:tcBorders>
              <w:top w:val="none" w:color="FFFFFF" w:sz="0"/>
              <w:left w:val="none" w:color="FFFFFF" w:sz="0"/>
              <w:bottom w:val="none" w:color="FFFFFF" w:sz="0"/>
              <w:right w:val="none" w:color="FFFFFF" w:sz="0"/>
            </w:tcBorders>
            <w:shd w:fill="FFFFFF" w:color="auto" w:val="clear"/>
            <w:tcMar>
              <w:top w:type="dxa" w:w="120"/>
              <w:left w:type="dxa" w:w="180"/>
              <w:bottom w:type="dxa" w:w="60"/>
              <w:right w:type="dxa" w:w="180"/>
            </w:tcMar>
          </w:tcPr>
          <w:p>
            <w:pPr>
              <w:spacing w:after="0"/>
            </w:pPr>
            <w:r>
              <w:rPr>
                <w:rFonts w:ascii="Consolas" w:cs="Consolas" w:eastAsia="Consolas" w:hAnsi="Consolas"/>
                <w:b/>
                <w:bCs/>
                <w:color w:val="8A5806"/>
                <w:sz w:val="18"/>
                <w:szCs w:val="18"/>
              </w:rPr>
              <w:t xml:space="preserve">11  </w:t>
            </w:r>
            <w:r>
              <w:rPr>
                <w:b/>
                <w:bCs/>
                <w:color w:val="141A24"/>
                <w:sz w:val="21"/>
                <w:szCs w:val="21"/>
              </w:rPr>
              <w:t xml:space="preserve">Dion Cohen — Loam Bio</w:t>
            </w:r>
            <w:r>
              <w:rPr>
                <w:rFonts w:ascii="Consolas" w:cs="Consolas" w:eastAsia="Consolas" w:hAnsi="Consolas"/>
                <w:color w:val="7A8698"/>
                <w:sz w:val="15"/>
                <w:szCs w:val="15"/>
              </w:rPr>
              <w:t xml:space="preserve">   DEEP TECH · #9</w:t>
            </w:r>
          </w:p>
        </w:tc>
      </w:tr>
      <w:tr>
        <w:tc>
          <w:tcPr>
            <w:tcW w:type="dxa" w:w="10020"/>
            <w:tcBorders>
              <w:top w:val="none" w:color="FFFFFF" w:sz="0"/>
              <w:left w:val="none" w:color="FFFFFF" w:sz="0"/>
              <w:bottom w:val="none" w:color="FFFFFF" w:sz="0"/>
              <w:right w:val="none" w:color="FFFFFF" w:sz="0"/>
            </w:tcBorders>
            <w:shd w:fill="F1F4F8" w:color="auto" w:val="clear"/>
            <w:tcMar>
              <w:top w:type="dxa" w:w="140"/>
              <w:left w:type="dxa" w:w="180"/>
              <w:bottom w:type="dxa" w:w="140"/>
              <w:right w:type="dxa" w:w="180"/>
            </w:tcMar>
          </w:tcPr>
          <w:p>
            <w:pPr>
              <w:spacing w:after="90" w:before="0"/>
            </w:pPr>
            <w:r>
              <w:rPr>
                <w:rFonts w:ascii="Consolas" w:cs="Consolas" w:eastAsia="Consolas" w:hAnsi="Consolas"/>
                <w:b/>
                <w:bCs/>
                <w:color w:val="7A8698"/>
                <w:spacing w:val="28"/>
                <w:sz w:val="14"/>
                <w:szCs w:val="14"/>
              </w:rPr>
              <w:t xml:space="preserve">CURRENTLY READS</w:t>
            </w:r>
          </w:p>
          <w:p>
            <w:pPr>
              <w:spacing w:after="200" w:line="276"/>
            </w:pPr>
            <w:r>
              <w:rPr>
                <w:i/>
                <w:iCs/>
                <w:color w:val="4E5A6B"/>
                <w:sz w:val="20"/>
                <w:szCs w:val="20"/>
              </w:rPr>
              <w:t xml:space="preserve">"US$73M Series B led by climate specialists including Lowercarbon"</w:t>
            </w:r>
          </w:p>
          <w:p>
            <w:pPr>
              <w:spacing w:after="90" w:before="0"/>
            </w:pPr>
            <w:r>
              <w:rPr>
                <w:rFonts w:ascii="Consolas" w:cs="Consolas" w:eastAsia="Consolas" w:hAnsi="Consolas"/>
                <w:b/>
                <w:bCs/>
                <w:color w:val="24558F"/>
                <w:spacing w:val="28"/>
                <w:sz w:val="14"/>
                <w:szCs w:val="14"/>
              </w:rPr>
              <w:t xml:space="preserve">CHANGE TO</w:t>
            </w:r>
          </w:p>
          <w:p>
            <w:pPr>
              <w:spacing w:after="0" w:line="276"/>
            </w:pPr>
            <w:r>
              <w:rPr>
                <w:color w:val="141A24"/>
                <w:sz w:val="20"/>
                <w:szCs w:val="20"/>
              </w:rPr>
              <w:t xml:space="preserve">Name </w:t>
            </w:r>
            <w:r>
              <w:rPr>
                <w:b/>
                <w:bCs/>
                <w:color w:val="141A24"/>
                <w:sz w:val="20"/>
                <w:szCs w:val="20"/>
              </w:rPr>
              <w:t xml:space="preserve">Wollemi Capital as co-lead</w:t>
            </w:r>
            <w:r>
              <w:rPr>
                <w:color w:val="141A24"/>
                <w:sz w:val="20"/>
                <w:szCs w:val="20"/>
              </w:rPr>
              <w:t xml:space="preserve"> alongside Lowercarbon, and note the round closed </w:t>
            </w:r>
            <w:r>
              <w:rPr>
                <w:b/>
                <w:bCs/>
                <w:color w:val="141A24"/>
                <w:sz w:val="20"/>
                <w:szCs w:val="20"/>
              </w:rPr>
              <w:t xml:space="preserve">February 2023</w:t>
            </w:r>
            <w:r>
              <w:rPr>
                <w:color w:val="141A24"/>
                <w:sz w:val="20"/>
                <w:szCs w:val="20"/>
              </w:rPr>
              <w:t xml:space="preserve">. Loam’s </w:t>
            </w:r>
            <w:r>
              <w:rPr>
                <w:b/>
                <w:bCs/>
                <w:color w:val="141A24"/>
                <w:sz w:val="20"/>
                <w:szCs w:val="20"/>
              </w:rPr>
              <w:t xml:space="preserve">total funding is A$150M</w:t>
            </w:r>
            <w:r>
              <w:rPr>
                <w:color w:val="141A24"/>
                <w:sz w:val="20"/>
                <w:szCs w:val="20"/>
              </w:rPr>
              <w:t xml:space="preserve">, which is the more current scale marker.</w:t>
            </w:r>
          </w:p>
        </w:tc>
      </w:tr>
      <w:tr>
        <w:tc>
          <w:tcPr>
            <w:tcW w:type="dxa" w:w="10020"/>
            <w:tcBorders>
              <w:top w:val="none" w:color="FFFFFF" w:sz="0"/>
              <w:left w:val="none" w:color="FFFFFF" w:sz="0"/>
              <w:bottom w:val="none" w:color="FFFFFF" w:sz="0"/>
              <w:right w:val="none" w:color="FFFFFF" w:sz="0"/>
            </w:tcBorders>
            <w:shd w:fill="FFFFFF" w:color="auto" w:val="clear"/>
            <w:tcMar>
              <w:top w:type="dxa" w:w="100"/>
              <w:left w:type="dxa" w:w="180"/>
              <w:bottom w:type="dxa" w:w="140"/>
              <w:right w:type="dxa" w:w="180"/>
            </w:tcMar>
          </w:tcPr>
          <w:p>
            <w:pPr>
              <w:spacing w:after="0" w:line="260"/>
            </w:pPr>
            <w:r>
              <w:rPr>
                <w:rFonts w:ascii="Consolas" w:cs="Consolas" w:eastAsia="Consolas" w:hAnsi="Consolas"/>
                <w:b/>
                <w:bCs/>
                <w:color w:val="7A8698"/>
                <w:spacing w:val="24"/>
                <w:sz w:val="14"/>
                <w:szCs w:val="14"/>
              </w:rPr>
              <w:t xml:space="preserve">Source   </w:t>
            </w:r>
            <w:r>
              <w:rPr>
                <w:rFonts w:ascii="Consolas" w:cs="Consolas" w:eastAsia="Consolas" w:hAnsi="Consolas"/>
                <w:color w:val="7A8698"/>
                <w:sz w:val="16"/>
                <w:szCs w:val="16"/>
              </w:rPr>
              <w:t xml:space="preserve">AgFunderNews, 13 Feb 2023 · CEFC, 14 Feb 2023: "co-led by Lowercarbon Capital and Wollemi Capital" · AVCJ</w:t>
            </w:r>
          </w:p>
        </w:tc>
      </w:tr>
    </w:tbl>
    <w:p>
      <w:pPr>
        <w:spacing w:after="150"/>
      </w:pPr>
      <w:r>
        <w:t xml:space="preserve"/>
      </w:r>
    </w:p>
    <w:p>
      <w:pPr>
        <w:spacing w:after="60" w:before="420"/>
      </w:pPr>
      <w:r>
        <w:rPr>
          <w:rFonts w:ascii="Cambria" w:cs="Cambria" w:eastAsia="Cambria" w:hAnsi="Cambria"/>
          <w:b w:val="false"/>
          <w:bCs w:val="false"/>
          <w:color w:val="141A24"/>
          <w:sz w:val="32"/>
          <w:szCs w:val="32"/>
        </w:rPr>
        <w:t xml:space="preserve">Imprecise</w:t>
      </w:r>
      <w:r>
        <w:rPr>
          <w:rFonts w:ascii="Consolas" w:cs="Consolas" w:eastAsia="Consolas" w:hAnsi="Consolas"/>
          <w:b/>
          <w:bCs/>
          <w:color w:val="24558F"/>
          <w:spacing w:val="20"/>
          <w:sz w:val="16"/>
          <w:szCs w:val="16"/>
        </w:rPr>
        <w:t xml:space="preserve">     7 · TIGHTEN</w:t>
      </w:r>
    </w:p>
    <w:p>
      <w:pPr>
        <w:pBdr>
          <w:bottom w:val="single" w:color="C3CCD8" w:sz="8"/>
        </w:pBdr>
        <w:spacing w:after="200" w:before="0"/>
      </w:pPr>
      <w:r>
        <w:t xml:space="preserve"/>
      </w:r>
    </w:p>
    <w:p>
      <w:pPr>
        <w:spacing w:after="240" w:line="276"/>
      </w:pPr>
      <w:r>
        <w:rPr>
          <w:color w:val="4E5A6B"/>
          <w:sz w:val="20"/>
          <w:szCs w:val="20"/>
        </w:rPr>
        <w:t xml:space="preserve">Not false, but loose enough that the person named would flag it in their own entry.</w:t>
      </w:r>
    </w:p>
    <w:tbl>
      <w:tblPr>
        <w:tblW w:type="dxa" w:w="10020"/>
        <w:tblBorders>
          <w:top w:val="single" w:color="DCE2EA" w:sz="4"/>
          <w:left w:val="single" w:color="24558F" w:sz="24"/>
          <w:bottom w:val="single" w:color="DCE2EA" w:sz="4"/>
          <w:right w:val="single" w:color="DCE2EA" w:sz="4"/>
          <w:insideH w:val="single" w:color="DCE2EA" w:sz="4"/>
          <w:insideV w:val="none" w:color="FFFFFF" w:sz="0"/>
        </w:tblBorders>
      </w:tblPr>
      <w:tblGrid>
        <w:gridCol w:w="10020"/>
      </w:tblGrid>
      <w:tr>
        <w:tc>
          <w:tcPr>
            <w:tcW w:type="dxa" w:w="10020"/>
            <w:gridSpan w:val="1"/>
            <w:tcBorders>
              <w:top w:val="none" w:color="FFFFFF" w:sz="0"/>
              <w:left w:val="none" w:color="FFFFFF" w:sz="0"/>
              <w:bottom w:val="none" w:color="FFFFFF" w:sz="0"/>
              <w:right w:val="none" w:color="FFFFFF" w:sz="0"/>
            </w:tcBorders>
            <w:shd w:fill="FFFFFF" w:color="auto" w:val="clear"/>
            <w:tcMar>
              <w:top w:type="dxa" w:w="120"/>
              <w:left w:type="dxa" w:w="180"/>
              <w:bottom w:type="dxa" w:w="60"/>
              <w:right w:type="dxa" w:w="180"/>
            </w:tcMar>
          </w:tcPr>
          <w:p>
            <w:pPr>
              <w:spacing w:after="0"/>
            </w:pPr>
            <w:r>
              <w:rPr>
                <w:rFonts w:ascii="Consolas" w:cs="Consolas" w:eastAsia="Consolas" w:hAnsi="Consolas"/>
                <w:b/>
                <w:bCs/>
                <w:color w:val="24558F"/>
                <w:sz w:val="18"/>
                <w:szCs w:val="18"/>
              </w:rPr>
              <w:t xml:space="preserve">12  </w:t>
            </w:r>
            <w:r>
              <w:rPr>
                <w:b/>
                <w:bCs/>
                <w:color w:val="141A24"/>
                <w:sz w:val="21"/>
                <w:szCs w:val="21"/>
              </w:rPr>
              <w:t xml:space="preserve">Justin Wong — Eucalyptus</w:t>
            </w:r>
            <w:r>
              <w:rPr>
                <w:rFonts w:ascii="Consolas" w:cs="Consolas" w:eastAsia="Consolas" w:hAnsi="Consolas"/>
                <w:color w:val="7A8698"/>
                <w:sz w:val="15"/>
                <w:szCs w:val="15"/>
              </w:rPr>
              <w:t xml:space="preserve">   TECH · #2</w:t>
            </w:r>
          </w:p>
        </w:tc>
      </w:tr>
      <w:tr>
        <w:tc>
          <w:tcPr>
            <w:tcW w:type="dxa" w:w="10020"/>
            <w:tcBorders>
              <w:top w:val="none" w:color="FFFFFF" w:sz="0"/>
              <w:left w:val="none" w:color="FFFFFF" w:sz="0"/>
              <w:bottom w:val="none" w:color="FFFFFF" w:sz="0"/>
              <w:right w:val="none" w:color="FFFFFF" w:sz="0"/>
            </w:tcBorders>
            <w:shd w:fill="F1F4F8" w:color="auto" w:val="clear"/>
            <w:tcMar>
              <w:top w:type="dxa" w:w="140"/>
              <w:left w:type="dxa" w:w="180"/>
              <w:bottom w:type="dxa" w:w="140"/>
              <w:right w:type="dxa" w:w="180"/>
            </w:tcMar>
          </w:tcPr>
          <w:p>
            <w:pPr>
              <w:spacing w:after="90" w:before="0"/>
            </w:pPr>
            <w:r>
              <w:rPr>
                <w:rFonts w:ascii="Consolas" w:cs="Consolas" w:eastAsia="Consolas" w:hAnsi="Consolas"/>
                <w:b/>
                <w:bCs/>
                <w:color w:val="7A8698"/>
                <w:spacing w:val="28"/>
                <w:sz w:val="14"/>
                <w:szCs w:val="14"/>
              </w:rPr>
              <w:t xml:space="preserve">CURRENTLY READS</w:t>
            </w:r>
          </w:p>
          <w:p>
            <w:pPr>
              <w:spacing w:after="200" w:line="276"/>
            </w:pPr>
            <w:r>
              <w:rPr>
                <w:i/>
                <w:iCs/>
                <w:color w:val="4E5A6B"/>
                <w:sz w:val="20"/>
                <w:szCs w:val="20"/>
              </w:rPr>
              <w:t xml:space="preserve">"roughly A$1.6 billion acquisition by Hims &amp; Hers… as named in the AFR’s deal coverage through June and July 2026"</w:t>
            </w:r>
          </w:p>
          <w:p>
            <w:pPr>
              <w:spacing w:after="90" w:before="0"/>
            </w:pPr>
            <w:r>
              <w:rPr>
                <w:rFonts w:ascii="Consolas" w:cs="Consolas" w:eastAsia="Consolas" w:hAnsi="Consolas"/>
                <w:b/>
                <w:bCs/>
                <w:color w:val="24558F"/>
                <w:spacing w:val="28"/>
                <w:sz w:val="14"/>
                <w:szCs w:val="14"/>
              </w:rPr>
              <w:t xml:space="preserve">CHANGE TO</w:t>
            </w:r>
          </w:p>
          <w:p>
            <w:pPr>
              <w:spacing w:after="0" w:line="276"/>
            </w:pPr>
            <w:r>
              <w:rPr>
                <w:b/>
                <w:bCs/>
                <w:color w:val="141A24"/>
                <w:sz w:val="20"/>
                <w:szCs w:val="20"/>
              </w:rPr>
              <w:t xml:space="preserve">"up to A$1.6 billion"</w:t>
            </w:r>
            <w:r>
              <w:rPr>
                <w:color w:val="141A24"/>
                <w:sz w:val="20"/>
                <w:szCs w:val="20"/>
              </w:rPr>
              <w:t xml:space="preserve"> — the deal is up to US$1.15B, of which about </w:t>
            </w:r>
            <w:r>
              <w:rPr>
                <w:b/>
                <w:bCs/>
                <w:color w:val="141A24"/>
                <w:sz w:val="20"/>
                <w:szCs w:val="20"/>
              </w:rPr>
              <w:t xml:space="preserve">US$240M is cash at closing</w:t>
            </w:r>
            <w:r>
              <w:rPr>
                <w:color w:val="141A24"/>
                <w:sz w:val="20"/>
                <w:szCs w:val="20"/>
              </w:rPr>
              <w:t xml:space="preserve">, the rest deferred over 18 months plus earnouts to early 2029. Also correct the timing: </w:t>
            </w:r>
            <w:r>
              <w:rPr>
                <w:b/>
                <w:bCs/>
                <w:color w:val="141A24"/>
                <w:sz w:val="20"/>
                <w:szCs w:val="20"/>
              </w:rPr>
              <w:t xml:space="preserve">announced 19 February 2026</w:t>
            </w:r>
            <w:r>
              <w:rPr>
                <w:color w:val="141A24"/>
                <w:sz w:val="20"/>
                <w:szCs w:val="20"/>
              </w:rPr>
              <w:t xml:space="preserve">, closed mid-year. June/July was the close, not the announcement.</w:t>
            </w:r>
          </w:p>
        </w:tc>
      </w:tr>
      <w:tr>
        <w:tc>
          <w:tcPr>
            <w:tcW w:type="dxa" w:w="10020"/>
            <w:tcBorders>
              <w:top w:val="none" w:color="FFFFFF" w:sz="0"/>
              <w:left w:val="none" w:color="FFFFFF" w:sz="0"/>
              <w:bottom w:val="none" w:color="FFFFFF" w:sz="0"/>
              <w:right w:val="none" w:color="FFFFFF" w:sz="0"/>
            </w:tcBorders>
            <w:shd w:fill="FFFFFF" w:color="auto" w:val="clear"/>
            <w:tcMar>
              <w:top w:type="dxa" w:w="100"/>
              <w:left w:type="dxa" w:w="180"/>
              <w:bottom w:type="dxa" w:w="140"/>
              <w:right w:type="dxa" w:w="180"/>
            </w:tcMar>
          </w:tcPr>
          <w:p>
            <w:pPr>
              <w:spacing w:after="0" w:line="260"/>
            </w:pPr>
            <w:r>
              <w:rPr>
                <w:rFonts w:ascii="Consolas" w:cs="Consolas" w:eastAsia="Consolas" w:hAnsi="Consolas"/>
                <w:b/>
                <w:bCs/>
                <w:color w:val="7A8698"/>
                <w:spacing w:val="24"/>
                <w:sz w:val="14"/>
                <w:szCs w:val="14"/>
              </w:rPr>
              <w:t xml:space="preserve">Source   </w:t>
            </w:r>
            <w:r>
              <w:rPr>
                <w:rFonts w:ascii="Consolas" w:cs="Consolas" w:eastAsia="Consolas" w:hAnsi="Consolas"/>
                <w:color w:val="7A8698"/>
                <w:sz w:val="16"/>
                <w:szCs w:val="16"/>
              </w:rPr>
              <w:t xml:space="preserve">Hims &amp; Hers investor release · Reuters and CNBC, 19 Feb 2026 · SEC 8-K exhibit</w:t>
            </w:r>
          </w:p>
        </w:tc>
      </w:tr>
    </w:tbl>
    <w:p>
      <w:pPr>
        <w:spacing w:after="150"/>
      </w:pPr>
      <w:r>
        <w:t xml:space="preserve"/>
      </w:r>
    </w:p>
    <w:tbl>
      <w:tblPr>
        <w:tblW w:type="dxa" w:w="10020"/>
        <w:tblBorders>
          <w:top w:val="single" w:color="DCE2EA" w:sz="4"/>
          <w:left w:val="single" w:color="24558F" w:sz="24"/>
          <w:bottom w:val="single" w:color="DCE2EA" w:sz="4"/>
          <w:right w:val="single" w:color="DCE2EA" w:sz="4"/>
          <w:insideH w:val="single" w:color="DCE2EA" w:sz="4"/>
          <w:insideV w:val="none" w:color="FFFFFF" w:sz="0"/>
        </w:tblBorders>
      </w:tblPr>
      <w:tblGrid>
        <w:gridCol w:w="10020"/>
      </w:tblGrid>
      <w:tr>
        <w:tc>
          <w:tcPr>
            <w:tcW w:type="dxa" w:w="10020"/>
            <w:gridSpan w:val="1"/>
            <w:tcBorders>
              <w:top w:val="none" w:color="FFFFFF" w:sz="0"/>
              <w:left w:val="none" w:color="FFFFFF" w:sz="0"/>
              <w:bottom w:val="none" w:color="FFFFFF" w:sz="0"/>
              <w:right w:val="none" w:color="FFFFFF" w:sz="0"/>
            </w:tcBorders>
            <w:shd w:fill="FFFFFF" w:color="auto" w:val="clear"/>
            <w:tcMar>
              <w:top w:type="dxa" w:w="120"/>
              <w:left w:type="dxa" w:w="180"/>
              <w:bottom w:type="dxa" w:w="60"/>
              <w:right w:type="dxa" w:w="180"/>
            </w:tcMar>
          </w:tcPr>
          <w:p>
            <w:pPr>
              <w:spacing w:after="0"/>
            </w:pPr>
            <w:r>
              <w:rPr>
                <w:rFonts w:ascii="Consolas" w:cs="Consolas" w:eastAsia="Consolas" w:hAnsi="Consolas"/>
                <w:b/>
                <w:bCs/>
                <w:color w:val="24558F"/>
                <w:sz w:val="18"/>
                <w:szCs w:val="18"/>
              </w:rPr>
              <w:t xml:space="preserve">13  </w:t>
            </w:r>
            <w:r>
              <w:rPr>
                <w:b/>
                <w:bCs/>
                <w:color w:val="141A24"/>
                <w:sz w:val="21"/>
                <w:szCs w:val="21"/>
              </w:rPr>
              <w:t xml:space="preserve">Michael Ammendolia — Prezzee</w:t>
            </w:r>
            <w:r>
              <w:rPr>
                <w:rFonts w:ascii="Consolas" w:cs="Consolas" w:eastAsia="Consolas" w:hAnsi="Consolas"/>
                <w:color w:val="7A8698"/>
                <w:sz w:val="15"/>
                <w:szCs w:val="15"/>
              </w:rPr>
              <w:t xml:space="preserve">   FINTECH · #8</w:t>
            </w:r>
          </w:p>
        </w:tc>
      </w:tr>
      <w:tr>
        <w:tc>
          <w:tcPr>
            <w:tcW w:type="dxa" w:w="10020"/>
            <w:tcBorders>
              <w:top w:val="none" w:color="FFFFFF" w:sz="0"/>
              <w:left w:val="none" w:color="FFFFFF" w:sz="0"/>
              <w:bottom w:val="none" w:color="FFFFFF" w:sz="0"/>
              <w:right w:val="none" w:color="FFFFFF" w:sz="0"/>
            </w:tcBorders>
            <w:shd w:fill="F1F4F8" w:color="auto" w:val="clear"/>
            <w:tcMar>
              <w:top w:type="dxa" w:w="140"/>
              <w:left w:type="dxa" w:w="180"/>
              <w:bottom w:type="dxa" w:w="140"/>
              <w:right w:type="dxa" w:w="180"/>
            </w:tcMar>
          </w:tcPr>
          <w:p>
            <w:pPr>
              <w:spacing w:after="90" w:before="0"/>
            </w:pPr>
            <w:r>
              <w:rPr>
                <w:rFonts w:ascii="Consolas" w:cs="Consolas" w:eastAsia="Consolas" w:hAnsi="Consolas"/>
                <w:b/>
                <w:bCs/>
                <w:color w:val="7A8698"/>
                <w:spacing w:val="28"/>
                <w:sz w:val="14"/>
                <w:szCs w:val="14"/>
              </w:rPr>
              <w:t xml:space="preserve">CURRENTLY READS</w:t>
            </w:r>
          </w:p>
          <w:p>
            <w:pPr>
              <w:spacing w:after="200" w:line="276"/>
            </w:pPr>
            <w:r>
              <w:rPr>
                <w:i/>
                <w:iCs/>
                <w:color w:val="4E5A6B"/>
                <w:sz w:val="20"/>
                <w:szCs w:val="20"/>
              </w:rPr>
              <w:t xml:space="preserve">"Global CFO, Prezzee" · "spent years inside Zip’s finance function as group financial controller"</w:t>
            </w:r>
          </w:p>
          <w:p>
            <w:pPr>
              <w:spacing w:after="90" w:before="0"/>
            </w:pPr>
            <w:r>
              <w:rPr>
                <w:rFonts w:ascii="Consolas" w:cs="Consolas" w:eastAsia="Consolas" w:hAnsi="Consolas"/>
                <w:b/>
                <w:bCs/>
                <w:color w:val="24558F"/>
                <w:spacing w:val="28"/>
                <w:sz w:val="14"/>
                <w:szCs w:val="14"/>
              </w:rPr>
              <w:t xml:space="preserve">CHANGE TO</w:t>
            </w:r>
          </w:p>
          <w:p>
            <w:pPr>
              <w:spacing w:after="0" w:line="276"/>
            </w:pPr>
            <w:r>
              <w:rPr>
                <w:b/>
                <w:bCs/>
                <w:color w:val="141A24"/>
                <w:sz w:val="20"/>
                <w:szCs w:val="20"/>
              </w:rPr>
              <w:t xml:space="preserve">"Global CFO &amp; CRO"</w:t>
            </w:r>
            <w:r>
              <w:rPr>
                <w:color w:val="141A24"/>
                <w:sz w:val="20"/>
                <w:szCs w:val="20"/>
              </w:rPr>
              <w:t xml:space="preserve"> — he has held both since November 2025, and Prezzee bills him that way. And soften the Zip line: he was Group Financial Controller for about </w:t>
            </w:r>
            <w:r>
              <w:rPr>
                <w:b/>
                <w:bCs/>
                <w:color w:val="141A24"/>
                <w:sz w:val="20"/>
                <w:szCs w:val="20"/>
              </w:rPr>
              <w:t xml:space="preserve">seven months</w:t>
            </w:r>
            <w:r>
              <w:rPr>
                <w:color w:val="141A24"/>
                <w:sz w:val="20"/>
                <w:szCs w:val="20"/>
              </w:rPr>
              <w:t xml:space="preserve"> (Apr–Nov 2022), roughly 19 months at Zip in total. "Years" overstates it.</w:t>
            </w:r>
          </w:p>
        </w:tc>
      </w:tr>
      <w:tr>
        <w:tc>
          <w:tcPr>
            <w:tcW w:type="dxa" w:w="10020"/>
            <w:tcBorders>
              <w:top w:val="none" w:color="FFFFFF" w:sz="0"/>
              <w:left w:val="none" w:color="FFFFFF" w:sz="0"/>
              <w:bottom w:val="none" w:color="FFFFFF" w:sz="0"/>
              <w:right w:val="none" w:color="FFFFFF" w:sz="0"/>
            </w:tcBorders>
            <w:shd w:fill="FFFFFF" w:color="auto" w:val="clear"/>
            <w:tcMar>
              <w:top w:type="dxa" w:w="100"/>
              <w:left w:type="dxa" w:w="180"/>
              <w:bottom w:type="dxa" w:w="140"/>
              <w:right w:type="dxa" w:w="180"/>
            </w:tcMar>
          </w:tcPr>
          <w:p>
            <w:pPr>
              <w:spacing w:after="0" w:line="260"/>
            </w:pPr>
            <w:r>
              <w:rPr>
                <w:rFonts w:ascii="Consolas" w:cs="Consolas" w:eastAsia="Consolas" w:hAnsi="Consolas"/>
                <w:b/>
                <w:bCs/>
                <w:color w:val="7A8698"/>
                <w:spacing w:val="24"/>
                <w:sz w:val="14"/>
                <w:szCs w:val="14"/>
              </w:rPr>
              <w:t xml:space="preserve">Source   </w:t>
            </w:r>
            <w:r>
              <w:rPr>
                <w:rFonts w:ascii="Consolas" w:cs="Consolas" w:eastAsia="Consolas" w:hAnsi="Consolas"/>
                <w:color w:val="7A8698"/>
                <w:sz w:val="16"/>
                <w:szCs w:val="16"/>
              </w:rPr>
              <w:t xml:space="preserve">Prezzee: "Michael Ammendolia, CFO &amp; CRO at Prezzee" · LinkedIn: Global CRO from Nov 2025, Global CFO from Apr 2024, both current</w:t>
            </w:r>
          </w:p>
        </w:tc>
      </w:tr>
    </w:tbl>
    <w:p>
      <w:pPr>
        <w:spacing w:after="150"/>
      </w:pPr>
      <w:r>
        <w:t xml:space="preserve"/>
      </w:r>
    </w:p>
    <w:tbl>
      <w:tblPr>
        <w:tblW w:type="dxa" w:w="10020"/>
        <w:tblBorders>
          <w:top w:val="single" w:color="DCE2EA" w:sz="4"/>
          <w:left w:val="single" w:color="24558F" w:sz="24"/>
          <w:bottom w:val="single" w:color="DCE2EA" w:sz="4"/>
          <w:right w:val="single" w:color="DCE2EA" w:sz="4"/>
          <w:insideH w:val="single" w:color="DCE2EA" w:sz="4"/>
          <w:insideV w:val="none" w:color="FFFFFF" w:sz="0"/>
        </w:tblBorders>
      </w:tblPr>
      <w:tblGrid>
        <w:gridCol w:w="10020"/>
      </w:tblGrid>
      <w:tr>
        <w:tc>
          <w:tcPr>
            <w:tcW w:type="dxa" w:w="10020"/>
            <w:gridSpan w:val="1"/>
            <w:tcBorders>
              <w:top w:val="none" w:color="FFFFFF" w:sz="0"/>
              <w:left w:val="none" w:color="FFFFFF" w:sz="0"/>
              <w:bottom w:val="none" w:color="FFFFFF" w:sz="0"/>
              <w:right w:val="none" w:color="FFFFFF" w:sz="0"/>
            </w:tcBorders>
            <w:shd w:fill="FFFFFF" w:color="auto" w:val="clear"/>
            <w:tcMar>
              <w:top w:type="dxa" w:w="120"/>
              <w:left w:type="dxa" w:w="180"/>
              <w:bottom w:type="dxa" w:w="60"/>
              <w:right w:type="dxa" w:w="180"/>
            </w:tcMar>
          </w:tcPr>
          <w:p>
            <w:pPr>
              <w:spacing w:after="0"/>
            </w:pPr>
            <w:r>
              <w:rPr>
                <w:rFonts w:ascii="Consolas" w:cs="Consolas" w:eastAsia="Consolas" w:hAnsi="Consolas"/>
                <w:b/>
                <w:bCs/>
                <w:color w:val="24558F"/>
                <w:sz w:val="18"/>
                <w:szCs w:val="18"/>
              </w:rPr>
              <w:t xml:space="preserve">14  </w:t>
            </w:r>
            <w:r>
              <w:rPr>
                <w:b/>
                <w:bCs/>
                <w:color w:val="141A24"/>
                <w:sz w:val="21"/>
                <w:szCs w:val="21"/>
              </w:rPr>
              <w:t xml:space="preserve">Selena Verth — Plenti</w:t>
            </w:r>
            <w:r>
              <w:rPr>
                <w:rFonts w:ascii="Consolas" w:cs="Consolas" w:eastAsia="Consolas" w:hAnsi="Consolas"/>
                <w:color w:val="7A8698"/>
                <w:sz w:val="15"/>
                <w:szCs w:val="15"/>
              </w:rPr>
              <w:t xml:space="preserve">   FINTECH · #9</w:t>
            </w:r>
          </w:p>
        </w:tc>
      </w:tr>
      <w:tr>
        <w:tc>
          <w:tcPr>
            <w:tcW w:type="dxa" w:w="10020"/>
            <w:tcBorders>
              <w:top w:val="none" w:color="FFFFFF" w:sz="0"/>
              <w:left w:val="none" w:color="FFFFFF" w:sz="0"/>
              <w:bottom w:val="none" w:color="FFFFFF" w:sz="0"/>
              <w:right w:val="none" w:color="FFFFFF" w:sz="0"/>
            </w:tcBorders>
            <w:shd w:fill="F1F4F8" w:color="auto" w:val="clear"/>
            <w:tcMar>
              <w:top w:type="dxa" w:w="140"/>
              <w:left w:type="dxa" w:w="180"/>
              <w:bottom w:type="dxa" w:w="140"/>
              <w:right w:type="dxa" w:w="180"/>
            </w:tcMar>
          </w:tcPr>
          <w:p>
            <w:pPr>
              <w:spacing w:after="90" w:before="0"/>
            </w:pPr>
            <w:r>
              <w:rPr>
                <w:rFonts w:ascii="Consolas" w:cs="Consolas" w:eastAsia="Consolas" w:hAnsi="Consolas"/>
                <w:b/>
                <w:bCs/>
                <w:color w:val="7A8698"/>
                <w:spacing w:val="28"/>
                <w:sz w:val="14"/>
                <w:szCs w:val="14"/>
              </w:rPr>
              <w:t xml:space="preserve">CURRENTLY READS</w:t>
            </w:r>
          </w:p>
          <w:p>
            <w:pPr>
              <w:spacing w:after="200" w:line="276"/>
            </w:pPr>
            <w:r>
              <w:rPr>
                <w:i/>
                <w:iCs/>
                <w:color w:val="4E5A6B"/>
                <w:sz w:val="20"/>
                <w:szCs w:val="20"/>
              </w:rPr>
              <w:t xml:space="preserve">"fifteen years at GE"</w:t>
            </w:r>
          </w:p>
          <w:p>
            <w:pPr>
              <w:spacing w:after="90" w:before="0"/>
            </w:pPr>
            <w:r>
              <w:rPr>
                <w:rFonts w:ascii="Consolas" w:cs="Consolas" w:eastAsia="Consolas" w:hAnsi="Consolas"/>
                <w:b/>
                <w:bCs/>
                <w:color w:val="24558F"/>
                <w:spacing w:val="28"/>
                <w:sz w:val="14"/>
                <w:szCs w:val="14"/>
              </w:rPr>
              <w:t xml:space="preserve">CHANGE TO</w:t>
            </w:r>
          </w:p>
          <w:p>
            <w:pPr>
              <w:spacing w:after="0" w:line="276"/>
            </w:pPr>
            <w:r>
              <w:rPr>
                <w:b/>
                <w:bCs/>
                <w:color w:val="141A24"/>
                <w:sz w:val="20"/>
                <w:szCs w:val="20"/>
              </w:rPr>
              <w:t xml:space="preserve">About 11 years across two spells</w:t>
            </w:r>
            <w:r>
              <w:rPr>
                <w:color w:val="141A24"/>
                <w:sz w:val="20"/>
                <w:szCs w:val="20"/>
              </w:rPr>
              <w:t xml:space="preserve"> (roughly 1999–2003 and 2008–2015), or drop the number as Plenti’s own bio does. There is a five-year gap in the middle that "fifteen years" papers over.</w:t>
            </w:r>
          </w:p>
        </w:tc>
      </w:tr>
      <w:tr>
        <w:tc>
          <w:tcPr>
            <w:tcW w:type="dxa" w:w="10020"/>
            <w:tcBorders>
              <w:top w:val="none" w:color="FFFFFF" w:sz="0"/>
              <w:left w:val="none" w:color="FFFFFF" w:sz="0"/>
              <w:bottom w:val="none" w:color="FFFFFF" w:sz="0"/>
              <w:right w:val="none" w:color="FFFFFF" w:sz="0"/>
            </w:tcBorders>
            <w:shd w:fill="FFFFFF" w:color="auto" w:val="clear"/>
            <w:tcMar>
              <w:top w:type="dxa" w:w="100"/>
              <w:left w:type="dxa" w:w="180"/>
              <w:bottom w:type="dxa" w:w="140"/>
              <w:right w:type="dxa" w:w="180"/>
            </w:tcMar>
          </w:tcPr>
          <w:p>
            <w:pPr>
              <w:spacing w:after="0" w:line="260"/>
            </w:pPr>
            <w:r>
              <w:rPr>
                <w:rFonts w:ascii="Consolas" w:cs="Consolas" w:eastAsia="Consolas" w:hAnsi="Consolas"/>
                <w:b/>
                <w:bCs/>
                <w:color w:val="7A8698"/>
                <w:spacing w:val="24"/>
                <w:sz w:val="14"/>
                <w:szCs w:val="14"/>
              </w:rPr>
              <w:t xml:space="preserve">Source   </w:t>
            </w:r>
            <w:r>
              <w:rPr>
                <w:rFonts w:ascii="Consolas" w:cs="Consolas" w:eastAsia="Consolas" w:hAnsi="Consolas"/>
                <w:color w:val="7A8698"/>
                <w:sz w:val="16"/>
                <w:szCs w:val="16"/>
              </w:rPr>
              <w:t xml:space="preserve">Plenti executive team page · Plenti ASX announcement, 5 Feb 2026 · career history</w:t>
            </w:r>
          </w:p>
        </w:tc>
      </w:tr>
    </w:tbl>
    <w:p>
      <w:pPr>
        <w:spacing w:after="150"/>
      </w:pPr>
      <w:r>
        <w:t xml:space="preserve"/>
      </w:r>
    </w:p>
    <w:tbl>
      <w:tblPr>
        <w:tblW w:type="dxa" w:w="10020"/>
        <w:tblBorders>
          <w:top w:val="single" w:color="DCE2EA" w:sz="4"/>
          <w:left w:val="single" w:color="24558F" w:sz="24"/>
          <w:bottom w:val="single" w:color="DCE2EA" w:sz="4"/>
          <w:right w:val="single" w:color="DCE2EA" w:sz="4"/>
          <w:insideH w:val="single" w:color="DCE2EA" w:sz="4"/>
          <w:insideV w:val="none" w:color="FFFFFF" w:sz="0"/>
        </w:tblBorders>
      </w:tblPr>
      <w:tblGrid>
        <w:gridCol w:w="10020"/>
      </w:tblGrid>
      <w:tr>
        <w:tc>
          <w:tcPr>
            <w:tcW w:type="dxa" w:w="10020"/>
            <w:gridSpan w:val="1"/>
            <w:tcBorders>
              <w:top w:val="none" w:color="FFFFFF" w:sz="0"/>
              <w:left w:val="none" w:color="FFFFFF" w:sz="0"/>
              <w:bottom w:val="none" w:color="FFFFFF" w:sz="0"/>
              <w:right w:val="none" w:color="FFFFFF" w:sz="0"/>
            </w:tcBorders>
            <w:shd w:fill="FFFFFF" w:color="auto" w:val="clear"/>
            <w:tcMar>
              <w:top w:type="dxa" w:w="120"/>
              <w:left w:type="dxa" w:w="180"/>
              <w:bottom w:type="dxa" w:w="60"/>
              <w:right w:type="dxa" w:w="180"/>
            </w:tcMar>
          </w:tcPr>
          <w:p>
            <w:pPr>
              <w:spacing w:after="0"/>
            </w:pPr>
            <w:r>
              <w:rPr>
                <w:rFonts w:ascii="Consolas" w:cs="Consolas" w:eastAsia="Consolas" w:hAnsi="Consolas"/>
                <w:b/>
                <w:bCs/>
                <w:color w:val="24558F"/>
                <w:sz w:val="18"/>
                <w:szCs w:val="18"/>
              </w:rPr>
              <w:t xml:space="preserve">15  </w:t>
            </w:r>
            <w:r>
              <w:rPr>
                <w:b/>
                <w:bCs/>
                <w:color w:val="141A24"/>
                <w:sz w:val="21"/>
                <w:szCs w:val="21"/>
              </w:rPr>
              <w:t xml:space="preserve">David Wright — MoneyMe</w:t>
            </w:r>
            <w:r>
              <w:rPr>
                <w:rFonts w:ascii="Consolas" w:cs="Consolas" w:eastAsia="Consolas" w:hAnsi="Consolas"/>
                <w:color w:val="7A8698"/>
                <w:sz w:val="15"/>
                <w:szCs w:val="15"/>
              </w:rPr>
              <w:t xml:space="preserve">   FINTECH · #6</w:t>
            </w:r>
          </w:p>
        </w:tc>
      </w:tr>
      <w:tr>
        <w:tc>
          <w:tcPr>
            <w:tcW w:type="dxa" w:w="10020"/>
            <w:tcBorders>
              <w:top w:val="none" w:color="FFFFFF" w:sz="0"/>
              <w:left w:val="none" w:color="FFFFFF" w:sz="0"/>
              <w:bottom w:val="none" w:color="FFFFFF" w:sz="0"/>
              <w:right w:val="none" w:color="FFFFFF" w:sz="0"/>
            </w:tcBorders>
            <w:shd w:fill="F1F4F8" w:color="auto" w:val="clear"/>
            <w:tcMar>
              <w:top w:type="dxa" w:w="140"/>
              <w:left w:type="dxa" w:w="180"/>
              <w:bottom w:type="dxa" w:w="140"/>
              <w:right w:type="dxa" w:w="180"/>
            </w:tcMar>
          </w:tcPr>
          <w:p>
            <w:pPr>
              <w:spacing w:after="90" w:before="0"/>
            </w:pPr>
            <w:r>
              <w:rPr>
                <w:rFonts w:ascii="Consolas" w:cs="Consolas" w:eastAsia="Consolas" w:hAnsi="Consolas"/>
                <w:b/>
                <w:bCs/>
                <w:color w:val="7A8698"/>
                <w:spacing w:val="28"/>
                <w:sz w:val="14"/>
                <w:szCs w:val="14"/>
              </w:rPr>
              <w:t xml:space="preserve">CURRENTLY READS</w:t>
            </w:r>
          </w:p>
          <w:p>
            <w:pPr>
              <w:spacing w:after="200" w:line="276"/>
            </w:pPr>
            <w:r>
              <w:rPr>
                <w:i/>
                <w:iCs/>
                <w:color w:val="4E5A6B"/>
                <w:sz w:val="20"/>
                <w:szCs w:val="20"/>
              </w:rPr>
              <w:t xml:space="preserve">"Growing a consumer book that fast while improving profitability"</w:t>
            </w:r>
          </w:p>
          <w:p>
            <w:pPr>
              <w:spacing w:after="90" w:before="0"/>
            </w:pPr>
            <w:r>
              <w:rPr>
                <w:rFonts w:ascii="Consolas" w:cs="Consolas" w:eastAsia="Consolas" w:hAnsi="Consolas"/>
                <w:b/>
                <w:bCs/>
                <w:color w:val="24558F"/>
                <w:spacing w:val="28"/>
                <w:sz w:val="14"/>
                <w:szCs w:val="14"/>
              </w:rPr>
              <w:t xml:space="preserve">CHANGE TO</w:t>
            </w:r>
          </w:p>
          <w:p>
            <w:pPr>
              <w:spacing w:after="0" w:line="276"/>
            </w:pPr>
            <w:r>
              <w:rPr>
                <w:color w:val="141A24"/>
                <w:sz w:val="20"/>
                <w:szCs w:val="20"/>
              </w:rPr>
              <w:t xml:space="preserve">Add that MoneyMe was </w:t>
            </w:r>
            <w:r>
              <w:rPr>
                <w:b/>
                <w:bCs/>
                <w:color w:val="141A24"/>
                <w:sz w:val="20"/>
                <w:szCs w:val="20"/>
              </w:rPr>
              <w:t xml:space="preserve">still loss-making in FY26</w:t>
            </w:r>
            <w:r>
              <w:rPr>
                <w:color w:val="141A24"/>
                <w:sz w:val="20"/>
                <w:szCs w:val="20"/>
              </w:rPr>
              <w:t xml:space="preserve"> — statutory NPAT loss $40.1m, normalised loss $4.1m — with </w:t>
            </w:r>
            <w:r>
              <w:rPr>
                <w:b/>
                <w:bCs/>
                <w:color w:val="141A24"/>
                <w:sz w:val="20"/>
                <w:szCs w:val="20"/>
              </w:rPr>
              <w:t xml:space="preserve">H2 normalised NPAT turning positive at $0.5m</w:t>
            </w:r>
            <w:r>
              <w:rPr>
                <w:color w:val="141A24"/>
                <w:sz w:val="20"/>
                <w:szCs w:val="20"/>
              </w:rPr>
              <w:t xml:space="preserve">. "Improving profitability" is fair on trajectory but reads as though the company is profitable.</w:t>
            </w:r>
          </w:p>
        </w:tc>
      </w:tr>
      <w:tr>
        <w:tc>
          <w:tcPr>
            <w:tcW w:type="dxa" w:w="10020"/>
            <w:tcBorders>
              <w:top w:val="none" w:color="FFFFFF" w:sz="0"/>
              <w:left w:val="none" w:color="FFFFFF" w:sz="0"/>
              <w:bottom w:val="none" w:color="FFFFFF" w:sz="0"/>
              <w:right w:val="none" w:color="FFFFFF" w:sz="0"/>
            </w:tcBorders>
            <w:shd w:fill="FFFFFF" w:color="auto" w:val="clear"/>
            <w:tcMar>
              <w:top w:type="dxa" w:w="100"/>
              <w:left w:type="dxa" w:w="180"/>
              <w:bottom w:type="dxa" w:w="140"/>
              <w:right w:type="dxa" w:w="180"/>
            </w:tcMar>
          </w:tcPr>
          <w:p>
            <w:pPr>
              <w:spacing w:after="0" w:line="260"/>
            </w:pPr>
            <w:r>
              <w:rPr>
                <w:rFonts w:ascii="Consolas" w:cs="Consolas" w:eastAsia="Consolas" w:hAnsi="Consolas"/>
                <w:b/>
                <w:bCs/>
                <w:color w:val="7A8698"/>
                <w:spacing w:val="24"/>
                <w:sz w:val="14"/>
                <w:szCs w:val="14"/>
              </w:rPr>
              <w:t xml:space="preserve">Source   </w:t>
            </w:r>
            <w:r>
              <w:rPr>
                <w:rFonts w:ascii="Consolas" w:cs="Consolas" w:eastAsia="Consolas" w:hAnsi="Consolas"/>
                <w:color w:val="7A8698"/>
                <w:sz w:val="16"/>
                <w:szCs w:val="16"/>
              </w:rPr>
              <w:t xml:space="preserve">MoneyMe FY26 Annual Report · Q4 FY26 earnings call, 19 Aug 2026</w:t>
            </w:r>
          </w:p>
        </w:tc>
      </w:tr>
    </w:tbl>
    <w:p>
      <w:pPr>
        <w:spacing w:after="150"/>
      </w:pPr>
      <w:r>
        <w:t xml:space="preserve"/>
      </w:r>
    </w:p>
    <w:tbl>
      <w:tblPr>
        <w:tblW w:type="dxa" w:w="10020"/>
        <w:tblBorders>
          <w:top w:val="single" w:color="DCE2EA" w:sz="4"/>
          <w:left w:val="single" w:color="24558F" w:sz="24"/>
          <w:bottom w:val="single" w:color="DCE2EA" w:sz="4"/>
          <w:right w:val="single" w:color="DCE2EA" w:sz="4"/>
          <w:insideH w:val="single" w:color="DCE2EA" w:sz="4"/>
          <w:insideV w:val="none" w:color="FFFFFF" w:sz="0"/>
        </w:tblBorders>
      </w:tblPr>
      <w:tblGrid>
        <w:gridCol w:w="10020"/>
      </w:tblGrid>
      <w:tr>
        <w:tc>
          <w:tcPr>
            <w:tcW w:type="dxa" w:w="10020"/>
            <w:gridSpan w:val="1"/>
            <w:tcBorders>
              <w:top w:val="none" w:color="FFFFFF" w:sz="0"/>
              <w:left w:val="none" w:color="FFFFFF" w:sz="0"/>
              <w:bottom w:val="none" w:color="FFFFFF" w:sz="0"/>
              <w:right w:val="none" w:color="FFFFFF" w:sz="0"/>
            </w:tcBorders>
            <w:shd w:fill="FFFFFF" w:color="auto" w:val="clear"/>
            <w:tcMar>
              <w:top w:type="dxa" w:w="120"/>
              <w:left w:type="dxa" w:w="180"/>
              <w:bottom w:type="dxa" w:w="60"/>
              <w:right w:type="dxa" w:w="180"/>
            </w:tcMar>
          </w:tcPr>
          <w:p>
            <w:pPr>
              <w:spacing w:after="0"/>
            </w:pPr>
            <w:r>
              <w:rPr>
                <w:rFonts w:ascii="Consolas" w:cs="Consolas" w:eastAsia="Consolas" w:hAnsi="Consolas"/>
                <w:b/>
                <w:bCs/>
                <w:color w:val="24558F"/>
                <w:sz w:val="18"/>
                <w:szCs w:val="18"/>
              </w:rPr>
              <w:t xml:space="preserve">16  </w:t>
            </w:r>
            <w:r>
              <w:rPr>
                <w:b/>
                <w:bCs/>
                <w:color w:val="141A24"/>
                <w:sz w:val="21"/>
                <w:szCs w:val="21"/>
              </w:rPr>
              <w:t xml:space="preserve">Matthew Lewis — Wisr</w:t>
            </w:r>
            <w:r>
              <w:rPr>
                <w:rFonts w:ascii="Consolas" w:cs="Consolas" w:eastAsia="Consolas" w:hAnsi="Consolas"/>
                <w:color w:val="7A8698"/>
                <w:sz w:val="15"/>
                <w:szCs w:val="15"/>
              </w:rPr>
              <w:t xml:space="preserve">   FINTECH · #7</w:t>
            </w:r>
          </w:p>
        </w:tc>
      </w:tr>
      <w:tr>
        <w:tc>
          <w:tcPr>
            <w:tcW w:type="dxa" w:w="10020"/>
            <w:tcBorders>
              <w:top w:val="none" w:color="FFFFFF" w:sz="0"/>
              <w:left w:val="none" w:color="FFFFFF" w:sz="0"/>
              <w:bottom w:val="none" w:color="FFFFFF" w:sz="0"/>
              <w:right w:val="none" w:color="FFFFFF" w:sz="0"/>
            </w:tcBorders>
            <w:shd w:fill="F1F4F8" w:color="auto" w:val="clear"/>
            <w:tcMar>
              <w:top w:type="dxa" w:w="140"/>
              <w:left w:type="dxa" w:w="180"/>
              <w:bottom w:type="dxa" w:w="140"/>
              <w:right w:type="dxa" w:w="180"/>
            </w:tcMar>
          </w:tcPr>
          <w:p>
            <w:pPr>
              <w:spacing w:after="90" w:before="0"/>
            </w:pPr>
            <w:r>
              <w:rPr>
                <w:rFonts w:ascii="Consolas" w:cs="Consolas" w:eastAsia="Consolas" w:hAnsi="Consolas"/>
                <w:b/>
                <w:bCs/>
                <w:color w:val="7A8698"/>
                <w:spacing w:val="28"/>
                <w:sz w:val="14"/>
                <w:szCs w:val="14"/>
              </w:rPr>
              <w:t xml:space="preserve">CURRENTLY READS</w:t>
            </w:r>
          </w:p>
          <w:p>
            <w:pPr>
              <w:spacing w:after="200" w:line="276"/>
            </w:pPr>
            <w:r>
              <w:rPr>
                <w:i/>
                <w:iCs/>
                <w:color w:val="4E5A6B"/>
                <w:sz w:val="20"/>
                <w:szCs w:val="20"/>
              </w:rPr>
              <w:t xml:space="preserve">"maiden full-year profit in FY26"</w:t>
            </w:r>
          </w:p>
          <w:p>
            <w:pPr>
              <w:spacing w:after="90" w:before="0"/>
            </w:pPr>
            <w:r>
              <w:rPr>
                <w:rFonts w:ascii="Consolas" w:cs="Consolas" w:eastAsia="Consolas" w:hAnsi="Consolas"/>
                <w:b/>
                <w:bCs/>
                <w:color w:val="24558F"/>
                <w:spacing w:val="28"/>
                <w:sz w:val="14"/>
                <w:szCs w:val="14"/>
              </w:rPr>
              <w:t xml:space="preserve">CHANGE TO</w:t>
            </w:r>
          </w:p>
          <w:p>
            <w:pPr>
              <w:spacing w:after="0" w:line="276"/>
            </w:pPr>
            <w:r>
              <w:rPr>
                <w:b/>
                <w:bCs/>
                <w:color w:val="141A24"/>
                <w:sz w:val="20"/>
                <w:szCs w:val="20"/>
              </w:rPr>
              <w:t xml:space="preserve">"maiden full-year cash profit"</w:t>
            </w:r>
            <w:r>
              <w:rPr>
                <w:color w:val="141A24"/>
                <w:sz w:val="20"/>
                <w:szCs w:val="20"/>
              </w:rPr>
              <w:t xml:space="preserve"> — cash NPAT of $1.0m. The qualifier matters here, because the cash-versus-statutory distinction is the whole story of the inflection.</w:t>
            </w:r>
          </w:p>
        </w:tc>
      </w:tr>
      <w:tr>
        <w:tc>
          <w:tcPr>
            <w:tcW w:type="dxa" w:w="10020"/>
            <w:tcBorders>
              <w:top w:val="none" w:color="FFFFFF" w:sz="0"/>
              <w:left w:val="none" w:color="FFFFFF" w:sz="0"/>
              <w:bottom w:val="none" w:color="FFFFFF" w:sz="0"/>
              <w:right w:val="none" w:color="FFFFFF" w:sz="0"/>
            </w:tcBorders>
            <w:shd w:fill="FFFFFF" w:color="auto" w:val="clear"/>
            <w:tcMar>
              <w:top w:type="dxa" w:w="100"/>
              <w:left w:type="dxa" w:w="180"/>
              <w:bottom w:type="dxa" w:w="140"/>
              <w:right w:type="dxa" w:w="180"/>
            </w:tcMar>
          </w:tcPr>
          <w:p>
            <w:pPr>
              <w:spacing w:after="0" w:line="260"/>
            </w:pPr>
            <w:r>
              <w:rPr>
                <w:rFonts w:ascii="Consolas" w:cs="Consolas" w:eastAsia="Consolas" w:hAnsi="Consolas"/>
                <w:b/>
                <w:bCs/>
                <w:color w:val="7A8698"/>
                <w:spacing w:val="24"/>
                <w:sz w:val="14"/>
                <w:szCs w:val="14"/>
              </w:rPr>
              <w:t xml:space="preserve">Source   </w:t>
            </w:r>
            <w:r>
              <w:rPr>
                <w:rFonts w:ascii="Consolas" w:cs="Consolas" w:eastAsia="Consolas" w:hAnsi="Consolas"/>
                <w:color w:val="7A8698"/>
                <w:sz w:val="16"/>
                <w:szCs w:val="16"/>
              </w:rPr>
              <w:t xml:space="preserve">Wisr Q4 FY26 update, 28 Jul 2026 · Australian Broker · SmallCaps, 26 Aug 2026</w:t>
            </w:r>
          </w:p>
        </w:tc>
      </w:tr>
    </w:tbl>
    <w:p>
      <w:pPr>
        <w:spacing w:after="150"/>
      </w:pPr>
      <w:r>
        <w:t xml:space="preserve"/>
      </w:r>
    </w:p>
    <w:tbl>
      <w:tblPr>
        <w:tblW w:type="dxa" w:w="10020"/>
        <w:tblBorders>
          <w:top w:val="single" w:color="DCE2EA" w:sz="4"/>
          <w:left w:val="single" w:color="24558F" w:sz="24"/>
          <w:bottom w:val="single" w:color="DCE2EA" w:sz="4"/>
          <w:right w:val="single" w:color="DCE2EA" w:sz="4"/>
          <w:insideH w:val="single" w:color="DCE2EA" w:sz="4"/>
          <w:insideV w:val="none" w:color="FFFFFF" w:sz="0"/>
        </w:tblBorders>
      </w:tblPr>
      <w:tblGrid>
        <w:gridCol w:w="10020"/>
      </w:tblGrid>
      <w:tr>
        <w:tc>
          <w:tcPr>
            <w:tcW w:type="dxa" w:w="10020"/>
            <w:gridSpan w:val="1"/>
            <w:tcBorders>
              <w:top w:val="none" w:color="FFFFFF" w:sz="0"/>
              <w:left w:val="none" w:color="FFFFFF" w:sz="0"/>
              <w:bottom w:val="none" w:color="FFFFFF" w:sz="0"/>
              <w:right w:val="none" w:color="FFFFFF" w:sz="0"/>
            </w:tcBorders>
            <w:shd w:fill="FFFFFF" w:color="auto" w:val="clear"/>
            <w:tcMar>
              <w:top w:type="dxa" w:w="120"/>
              <w:left w:type="dxa" w:w="180"/>
              <w:bottom w:type="dxa" w:w="60"/>
              <w:right w:type="dxa" w:w="180"/>
            </w:tcMar>
          </w:tcPr>
          <w:p>
            <w:pPr>
              <w:spacing w:after="0"/>
            </w:pPr>
            <w:r>
              <w:rPr>
                <w:rFonts w:ascii="Consolas" w:cs="Consolas" w:eastAsia="Consolas" w:hAnsi="Consolas"/>
                <w:b/>
                <w:bCs/>
                <w:color w:val="24558F"/>
                <w:sz w:val="18"/>
                <w:szCs w:val="18"/>
              </w:rPr>
              <w:t xml:space="preserve">17  </w:t>
            </w:r>
            <w:r>
              <w:rPr>
                <w:b/>
                <w:bCs/>
                <w:color w:val="141A24"/>
                <w:sz w:val="21"/>
                <w:szCs w:val="21"/>
              </w:rPr>
              <w:t xml:space="preserve">Joe Bedewi — Morse Micro</w:t>
            </w:r>
            <w:r>
              <w:rPr>
                <w:rFonts w:ascii="Consolas" w:cs="Consolas" w:eastAsia="Consolas" w:hAnsi="Consolas"/>
                <w:color w:val="7A8698"/>
                <w:sz w:val="15"/>
                <w:szCs w:val="15"/>
              </w:rPr>
              <w:t xml:space="preserve">   DEEP TECH · #1</w:t>
            </w:r>
          </w:p>
        </w:tc>
      </w:tr>
      <w:tr>
        <w:tc>
          <w:tcPr>
            <w:tcW w:type="dxa" w:w="10020"/>
            <w:tcBorders>
              <w:top w:val="none" w:color="FFFFFF" w:sz="0"/>
              <w:left w:val="none" w:color="FFFFFF" w:sz="0"/>
              <w:bottom w:val="none" w:color="FFFFFF" w:sz="0"/>
              <w:right w:val="none" w:color="FFFFFF" w:sz="0"/>
            </w:tcBorders>
            <w:shd w:fill="F1F4F8" w:color="auto" w:val="clear"/>
            <w:tcMar>
              <w:top w:type="dxa" w:w="140"/>
              <w:left w:type="dxa" w:w="180"/>
              <w:bottom w:type="dxa" w:w="140"/>
              <w:right w:type="dxa" w:w="180"/>
            </w:tcMar>
          </w:tcPr>
          <w:p>
            <w:pPr>
              <w:spacing w:after="90" w:before="0"/>
            </w:pPr>
            <w:r>
              <w:rPr>
                <w:rFonts w:ascii="Consolas" w:cs="Consolas" w:eastAsia="Consolas" w:hAnsi="Consolas"/>
                <w:b/>
                <w:bCs/>
                <w:color w:val="7A8698"/>
                <w:spacing w:val="28"/>
                <w:sz w:val="14"/>
                <w:szCs w:val="14"/>
              </w:rPr>
              <w:t xml:space="preserve">CURRENTLY READS</w:t>
            </w:r>
          </w:p>
          <w:p>
            <w:pPr>
              <w:spacing w:after="200" w:line="276"/>
            </w:pPr>
            <w:r>
              <w:rPr>
                <w:i/>
                <w:iCs/>
                <w:color w:val="4E5A6B"/>
                <w:sz w:val="20"/>
                <w:szCs w:val="20"/>
              </w:rPr>
              <w:t xml:space="preserve">Pedigree: "Altium, Lattice Semiconductor, Intel"</w:t>
            </w:r>
          </w:p>
          <w:p>
            <w:pPr>
              <w:spacing w:after="90" w:before="0"/>
            </w:pPr>
            <w:r>
              <w:rPr>
                <w:rFonts w:ascii="Consolas" w:cs="Consolas" w:eastAsia="Consolas" w:hAnsi="Consolas"/>
                <w:b/>
                <w:bCs/>
                <w:color w:val="24558F"/>
                <w:spacing w:val="28"/>
                <w:sz w:val="14"/>
                <w:szCs w:val="14"/>
              </w:rPr>
              <w:t xml:space="preserve">CHANGE TO</w:t>
            </w:r>
          </w:p>
          <w:p>
            <w:pPr>
              <w:spacing w:after="0" w:line="276"/>
            </w:pPr>
            <w:r>
              <w:rPr>
                <w:color w:val="141A24"/>
                <w:sz w:val="20"/>
                <w:szCs w:val="20"/>
              </w:rPr>
              <w:t xml:space="preserve">Add </w:t>
            </w:r>
            <w:r>
              <w:rPr>
                <w:b/>
                <w:bCs/>
                <w:color w:val="141A24"/>
                <w:sz w:val="20"/>
                <w:szCs w:val="20"/>
              </w:rPr>
              <w:t xml:space="preserve">Uhnder</w:t>
            </w:r>
            <w:r>
              <w:rPr>
                <w:color w:val="141A24"/>
                <w:sz w:val="20"/>
                <w:szCs w:val="20"/>
              </w:rPr>
              <w:t xml:space="preserve">, where he was CFO immediately before Morse Micro — the pedigree line currently skips his most recent seat. Two details worth adding while you’re in there: he is Morse Micro’s </w:t>
            </w:r>
            <w:r>
              <w:rPr>
                <w:b/>
                <w:bCs/>
                <w:color w:val="141A24"/>
                <w:sz w:val="20"/>
                <w:szCs w:val="20"/>
              </w:rPr>
              <w:t xml:space="preserve">first-ever CFO</w:t>
            </w:r>
            <w:r>
              <w:rPr>
                <w:color w:val="141A24"/>
                <w:sz w:val="20"/>
                <w:szCs w:val="20"/>
              </w:rPr>
              <w:t xml:space="preserve">, and Capital Brief reports a </w:t>
            </w:r>
            <w:r>
              <w:rPr>
                <w:b/>
                <w:bCs/>
                <w:color w:val="141A24"/>
                <w:sz w:val="20"/>
                <w:szCs w:val="20"/>
              </w:rPr>
              <w:t xml:space="preserve">$32M pre-IPO round</w:t>
            </w:r>
            <w:r>
              <w:rPr>
                <w:color w:val="141A24"/>
                <w:sz w:val="20"/>
                <w:szCs w:val="20"/>
              </w:rPr>
              <w:t xml:space="preserve"> being locked in.</w:t>
            </w:r>
          </w:p>
        </w:tc>
      </w:tr>
      <w:tr>
        <w:tc>
          <w:tcPr>
            <w:tcW w:type="dxa" w:w="10020"/>
            <w:tcBorders>
              <w:top w:val="none" w:color="FFFFFF" w:sz="0"/>
              <w:left w:val="none" w:color="FFFFFF" w:sz="0"/>
              <w:bottom w:val="none" w:color="FFFFFF" w:sz="0"/>
              <w:right w:val="none" w:color="FFFFFF" w:sz="0"/>
            </w:tcBorders>
            <w:shd w:fill="FFFFFF" w:color="auto" w:val="clear"/>
            <w:tcMar>
              <w:top w:type="dxa" w:w="100"/>
              <w:left w:type="dxa" w:w="180"/>
              <w:bottom w:type="dxa" w:w="140"/>
              <w:right w:type="dxa" w:w="180"/>
            </w:tcMar>
          </w:tcPr>
          <w:p>
            <w:pPr>
              <w:spacing w:after="0" w:line="260"/>
            </w:pPr>
            <w:r>
              <w:rPr>
                <w:rFonts w:ascii="Consolas" w:cs="Consolas" w:eastAsia="Consolas" w:hAnsi="Consolas"/>
                <w:b/>
                <w:bCs/>
                <w:color w:val="7A8698"/>
                <w:spacing w:val="24"/>
                <w:sz w:val="14"/>
                <w:szCs w:val="14"/>
              </w:rPr>
              <w:t xml:space="preserve">Source   </w:t>
            </w:r>
            <w:r>
              <w:rPr>
                <w:rFonts w:ascii="Consolas" w:cs="Consolas" w:eastAsia="Consolas" w:hAnsi="Consolas"/>
                <w:color w:val="7A8698"/>
                <w:sz w:val="16"/>
                <w:szCs w:val="16"/>
              </w:rPr>
              <w:t xml:space="preserve">Morse Micro appointment release, 19 Mar 2026 · Capital Brief, 19 Mar 2026: "its inaugural chief financial officer"</w:t>
            </w:r>
          </w:p>
        </w:tc>
      </w:tr>
    </w:tbl>
    <w:p>
      <w:pPr>
        <w:spacing w:after="150"/>
      </w:pPr>
      <w:r>
        <w:t xml:space="preserve"/>
      </w:r>
    </w:p>
    <w:tbl>
      <w:tblPr>
        <w:tblW w:type="dxa" w:w="10020"/>
        <w:tblBorders>
          <w:top w:val="single" w:color="DCE2EA" w:sz="4"/>
          <w:left w:val="single" w:color="24558F" w:sz="24"/>
          <w:bottom w:val="single" w:color="DCE2EA" w:sz="4"/>
          <w:right w:val="single" w:color="DCE2EA" w:sz="4"/>
          <w:insideH w:val="single" w:color="DCE2EA" w:sz="4"/>
          <w:insideV w:val="none" w:color="FFFFFF" w:sz="0"/>
        </w:tblBorders>
      </w:tblPr>
      <w:tblGrid>
        <w:gridCol w:w="10020"/>
      </w:tblGrid>
      <w:tr>
        <w:tc>
          <w:tcPr>
            <w:tcW w:type="dxa" w:w="10020"/>
            <w:gridSpan w:val="1"/>
            <w:tcBorders>
              <w:top w:val="none" w:color="FFFFFF" w:sz="0"/>
              <w:left w:val="none" w:color="FFFFFF" w:sz="0"/>
              <w:bottom w:val="none" w:color="FFFFFF" w:sz="0"/>
              <w:right w:val="none" w:color="FFFFFF" w:sz="0"/>
            </w:tcBorders>
            <w:shd w:fill="FFFFFF" w:color="auto" w:val="clear"/>
            <w:tcMar>
              <w:top w:type="dxa" w:w="120"/>
              <w:left w:type="dxa" w:w="180"/>
              <w:bottom w:type="dxa" w:w="60"/>
              <w:right w:type="dxa" w:w="180"/>
            </w:tcMar>
          </w:tcPr>
          <w:p>
            <w:pPr>
              <w:spacing w:after="0"/>
            </w:pPr>
            <w:r>
              <w:rPr>
                <w:rFonts w:ascii="Consolas" w:cs="Consolas" w:eastAsia="Consolas" w:hAnsi="Consolas"/>
                <w:b/>
                <w:bCs/>
                <w:color w:val="24558F"/>
                <w:sz w:val="18"/>
                <w:szCs w:val="18"/>
              </w:rPr>
              <w:t xml:space="preserve">18  </w:t>
            </w:r>
            <w:r>
              <w:rPr>
                <w:b/>
                <w:bCs/>
                <w:color w:val="141A24"/>
                <w:sz w:val="21"/>
                <w:szCs w:val="21"/>
              </w:rPr>
              <w:t xml:space="preserve">Therese McGrath — Pepper Money</w:t>
            </w:r>
            <w:r>
              <w:rPr>
                <w:rFonts w:ascii="Consolas" w:cs="Consolas" w:eastAsia="Consolas" w:hAnsi="Consolas"/>
                <w:color w:val="7A8698"/>
                <w:sz w:val="15"/>
                <w:szCs w:val="15"/>
              </w:rPr>
              <w:t xml:space="preserve">   FINTECH · #3</w:t>
            </w:r>
          </w:p>
        </w:tc>
      </w:tr>
      <w:tr>
        <w:tc>
          <w:tcPr>
            <w:tcW w:type="dxa" w:w="10020"/>
            <w:tcBorders>
              <w:top w:val="none" w:color="FFFFFF" w:sz="0"/>
              <w:left w:val="none" w:color="FFFFFF" w:sz="0"/>
              <w:bottom w:val="none" w:color="FFFFFF" w:sz="0"/>
              <w:right w:val="none" w:color="FFFFFF" w:sz="0"/>
            </w:tcBorders>
            <w:shd w:fill="F1F4F8" w:color="auto" w:val="clear"/>
            <w:tcMar>
              <w:top w:type="dxa" w:w="140"/>
              <w:left w:type="dxa" w:w="180"/>
              <w:bottom w:type="dxa" w:w="140"/>
              <w:right w:type="dxa" w:w="180"/>
            </w:tcMar>
          </w:tcPr>
          <w:p>
            <w:pPr>
              <w:spacing w:after="90" w:before="0"/>
            </w:pPr>
            <w:r>
              <w:rPr>
                <w:rFonts w:ascii="Consolas" w:cs="Consolas" w:eastAsia="Consolas" w:hAnsi="Consolas"/>
                <w:b/>
                <w:bCs/>
                <w:color w:val="7A8698"/>
                <w:spacing w:val="28"/>
                <w:sz w:val="14"/>
                <w:szCs w:val="14"/>
              </w:rPr>
              <w:t xml:space="preserve">CURRENTLY READS</w:t>
            </w:r>
          </w:p>
          <w:p>
            <w:pPr>
              <w:spacing w:after="200" w:line="276"/>
            </w:pPr>
            <w:r>
              <w:rPr>
                <w:i/>
                <w:iCs/>
                <w:color w:val="4E5A6B"/>
                <w:sz w:val="20"/>
                <w:szCs w:val="20"/>
              </w:rPr>
              <w:t xml:space="preserve">"presented alongside the chief executive on 20 August"</w:t>
            </w:r>
          </w:p>
          <w:p>
            <w:pPr>
              <w:spacing w:after="90" w:before="0"/>
            </w:pPr>
            <w:r>
              <w:rPr>
                <w:rFonts w:ascii="Consolas" w:cs="Consolas" w:eastAsia="Consolas" w:hAnsi="Consolas"/>
                <w:b/>
                <w:bCs/>
                <w:color w:val="24558F"/>
                <w:spacing w:val="28"/>
                <w:sz w:val="14"/>
                <w:szCs w:val="14"/>
              </w:rPr>
              <w:t xml:space="preserve">CHANGE TO</w:t>
            </w:r>
          </w:p>
          <w:p>
            <w:pPr>
              <w:spacing w:after="0" w:line="276"/>
            </w:pPr>
            <w:r>
              <w:rPr>
                <w:b/>
                <w:bCs/>
                <w:color w:val="141A24"/>
                <w:sz w:val="20"/>
                <w:szCs w:val="20"/>
              </w:rPr>
              <w:t xml:space="preserve">19 August.</w:t>
            </w:r>
            <w:r>
              <w:rPr>
                <w:color w:val="141A24"/>
                <w:sz w:val="20"/>
                <w:szCs w:val="20"/>
              </w:rPr>
              <w:t xml:space="preserve"> The H1 2026 results call transcript is dated 19 August 2026.</w:t>
            </w:r>
          </w:p>
        </w:tc>
      </w:tr>
      <w:tr>
        <w:tc>
          <w:tcPr>
            <w:tcW w:type="dxa" w:w="10020"/>
            <w:tcBorders>
              <w:top w:val="none" w:color="FFFFFF" w:sz="0"/>
              <w:left w:val="none" w:color="FFFFFF" w:sz="0"/>
              <w:bottom w:val="none" w:color="FFFFFF" w:sz="0"/>
              <w:right w:val="none" w:color="FFFFFF" w:sz="0"/>
            </w:tcBorders>
            <w:shd w:fill="FFFFFF" w:color="auto" w:val="clear"/>
            <w:tcMar>
              <w:top w:type="dxa" w:w="100"/>
              <w:left w:type="dxa" w:w="180"/>
              <w:bottom w:type="dxa" w:w="140"/>
              <w:right w:type="dxa" w:w="180"/>
            </w:tcMar>
          </w:tcPr>
          <w:p>
            <w:pPr>
              <w:spacing w:after="0" w:line="260"/>
            </w:pPr>
            <w:r>
              <w:rPr>
                <w:rFonts w:ascii="Consolas" w:cs="Consolas" w:eastAsia="Consolas" w:hAnsi="Consolas"/>
                <w:b/>
                <w:bCs/>
                <w:color w:val="7A8698"/>
                <w:spacing w:val="24"/>
                <w:sz w:val="14"/>
                <w:szCs w:val="14"/>
              </w:rPr>
              <w:t xml:space="preserve">Source   </w:t>
            </w:r>
            <w:r>
              <w:rPr>
                <w:rFonts w:ascii="Consolas" w:cs="Consolas" w:eastAsia="Consolas" w:hAnsi="Consolas"/>
                <w:color w:val="7A8698"/>
                <w:sz w:val="16"/>
                <w:szCs w:val="16"/>
              </w:rPr>
              <w:t xml:space="preserve">Pepper Money H1 2026 earnings call transcript, 19 Aug 2026</w:t>
            </w:r>
          </w:p>
        </w:tc>
      </w:tr>
    </w:tbl>
    <w:p>
      <w:pPr>
        <w:spacing w:after="150"/>
      </w:pPr>
      <w:r>
        <w:t xml:space="preserve"/>
      </w:r>
    </w:p>
    <w:p>
      <w:pPr>
        <w:pBdr>
          <w:bottom w:val="single" w:color="DCE2EA" w:sz="6"/>
        </w:pBdr>
        <w:spacing w:after="200" w:before="300"/>
      </w:pPr>
      <w:r>
        <w:t xml:space="preserve"/>
      </w:r>
    </w:p>
    <w:p>
      <w:pPr>
        <w:spacing w:after="0" w:line="280"/>
      </w:pPr>
      <w:r>
        <w:rPr>
          <w:b/>
          <w:bCs/>
          <w:color w:val="4E5A6B"/>
          <w:sz w:val="17"/>
          <w:szCs w:val="17"/>
        </w:rPr>
        <w:t xml:space="preserve">How this was checked.  </w:t>
      </w:r>
      <w:r>
        <w:rPr>
          <w:color w:val="7A8698"/>
          <w:sz w:val="17"/>
          <w:szCs w:val="17"/>
        </w:rPr>
        <w:t xml:space="preserve">Full text of all three articles pulled and every discrete claim cross-referenced against primary sources where they exist — ASX announcements and results releases, company media releases, SEC filings, government agency statements — and against reported coverage or live records where they don’t. Scoring arithmetic was checked by hand and is correct across all thirty cards. Claims verified as already accurate, and claims for which no public source could be found either way, are excluded from this list.</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Changes to make to the CFO lists</dc:title>
  <dc:creator>Tom Hunter — Story Recruitment</dc:creator>
  <dc:description>Eighteen sourced edits across the three Top 10 CFOs articles</dc:description>
  <cp:lastModifiedBy>Un-named</cp:lastModifiedBy>
  <cp:revision>1</cp:revision>
  <dcterms:created xsi:type="dcterms:W3CDTF">2026-09-03T23:02:22.388Z</dcterms:created>
  <dcterms:modified xsi:type="dcterms:W3CDTF">2026-09-03T23:02:22.389Z</dcterms:modified>
</cp:coreProperties>
</file>

<file path=docProps/custom.xml><?xml version="1.0" encoding="utf-8"?>
<Properties xmlns="http://schemas.openxmlformats.org/officeDocument/2006/custom-properties" xmlns:vt="http://schemas.openxmlformats.org/officeDocument/2006/docPropsVTypes"/>
</file>